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line="360" w:lineRule="auto"/>
        <w:ind w:firstLine="0"/>
      </w:pPr>
      <w:r>
        <w:rPr>
          <w:rFonts w:ascii="Times New Roman" w:hAnsi="Times New Roman"/>
          <w:b/>
          <w:i w:val="0"/>
          <w:color w:val="1E3A5F"/>
          <w:sz w:val="28"/>
        </w:rPr>
        <w:t>Team Resurrection Inc.</w:t>
      </w:r>
    </w:p>
    <w:p>
      <w:pPr>
        <w:spacing w:before="0" w:after="20" w:line="360" w:lineRule="auto"/>
        <w:ind w:firstLine="0"/>
      </w:pPr>
      <w:r>
        <w:rPr>
          <w:rFonts w:ascii="Times New Roman" w:hAnsi="Times New Roman"/>
          <w:b w:val="0"/>
          <w:i w:val="0"/>
          <w:color w:val="333333"/>
          <w:sz w:val="20"/>
        </w:rPr>
        <w:t>172 16th Ave, Newark, NJ 07103  │  P.O. Box 3489, Newark, NJ 07108</w:t>
      </w:r>
    </w:p>
    <w:p>
      <w:pPr>
        <w:spacing w:before="0" w:after="0" w:line="360" w:lineRule="auto"/>
        <w:ind w:firstLine="0"/>
      </w:pPr>
      <w:r>
        <w:rPr>
          <w:rFonts w:ascii="Times New Roman" w:hAnsi="Times New Roman"/>
          <w:b w:val="0"/>
          <w:i w:val="0"/>
          <w:color w:val="333333"/>
          <w:sz w:val="20"/>
        </w:rPr>
        <w:t>Phone: (973) 991-3594  │  Email: tryresurrection@aol.com</w:t>
      </w:r>
    </w:p>
    <w:p>
      <w:pPr>
        <w:spacing w:before="0" w:after="240" w:line="360" w:lineRule="auto"/>
        <w:ind w:firstLine="0"/>
        <w:pBdr>
          <w:bottom w:val="single" w:sz="18" w:space="4" w:color="1E3A5F"/>
        </w:pBdr>
      </w:pPr>
      <w:r>
        <w:rPr>
          <w:rFonts w:ascii="Times New Roman" w:hAnsi="Times New Roman"/>
          <w:b w:val="0"/>
          <w:i w:val="0"/>
          <w:color w:val="333333"/>
          <w:sz w:val="20"/>
        </w:rPr>
        <w:t>EIN: 20-8965784  │  UEI: WGHLGCP9E2S5</w:t>
      </w:r>
    </w:p>
    <w:p>
      <w:pPr>
        <w:spacing w:before="120" w:after="80" w:line="360" w:lineRule="auto"/>
        <w:ind w:firstLine="0"/>
        <w:jc w:val="center"/>
      </w:pPr>
      <w:r>
        <w:rPr>
          <w:rFonts w:ascii="Times New Roman" w:hAnsi="Times New Roman"/>
          <w:b/>
          <w:i w:val="0"/>
          <w:color w:val="1E3A5F"/>
          <w:sz w:val="28"/>
        </w:rPr>
        <w:t>NJLEAD FY26 Category B — Proposal Narrative</w:t>
      </w:r>
    </w:p>
    <w:p>
      <w:pPr>
        <w:spacing w:before="0" w:after="280" w:line="360" w:lineRule="auto"/>
        <w:ind w:firstLine="0"/>
      </w:pPr>
      <w:r>
        <w:rPr>
          <w:rFonts w:ascii="Times New Roman" w:hAnsi="Times New Roman"/>
          <w:b/>
          <w:i w:val="0"/>
          <w:sz w:val="22"/>
        </w:rPr>
        <w:t xml:space="preserve">Grant Period: </w:t>
      </w:r>
      <w:r>
        <w:rPr>
          <w:rFonts w:ascii="Times New Roman" w:hAnsi="Times New Roman"/>
          <w:b w:val="0"/>
          <w:i w:val="0"/>
          <w:sz w:val="22"/>
        </w:rPr>
        <w:t>July 1, 2026 – June 30, 2027</w:t>
        <w:br/>
      </w:r>
      <w:r>
        <w:rPr>
          <w:rFonts w:ascii="Times New Roman" w:hAnsi="Times New Roman"/>
          <w:b/>
          <w:i w:val="0"/>
          <w:sz w:val="22"/>
        </w:rPr>
        <w:t xml:space="preserve">Amount Requested: </w:t>
      </w:r>
      <w:r>
        <w:rPr>
          <w:rFonts w:ascii="Times New Roman" w:hAnsi="Times New Roman"/>
          <w:b w:val="0"/>
          <w:i w:val="0"/>
          <w:sz w:val="22"/>
        </w:rPr>
        <w:t>$340,000</w:t>
        <w:br/>
      </w:r>
      <w:r>
        <w:rPr>
          <w:rFonts w:ascii="Times New Roman" w:hAnsi="Times New Roman"/>
          <w:b/>
          <w:i w:val="0"/>
          <w:sz w:val="22"/>
        </w:rPr>
        <w:t xml:space="preserve">Executive Director: </w:t>
      </w:r>
      <w:r>
        <w:rPr>
          <w:rFonts w:ascii="Times New Roman" w:hAnsi="Times New Roman"/>
          <w:b w:val="0"/>
          <w:i w:val="0"/>
          <w:sz w:val="22"/>
        </w:rPr>
        <w:t>Mary “Malika” McCall</w:t>
      </w:r>
    </w:p>
    <w:p>
      <w:pPr>
        <w:spacing w:before="160" w:after="60" w:line="360" w:lineRule="auto"/>
        <w:ind w:firstLine="0"/>
      </w:pPr>
      <w:r>
        <w:rPr>
          <w:rFonts w:ascii="Times New Roman" w:hAnsi="Times New Roman"/>
          <w:b/>
          <w:i w:val="0"/>
          <w:sz w:val="24"/>
        </w:rPr>
        <w:t>Section I: Applicant Organization</w:t>
      </w:r>
    </w:p>
    <w:p>
      <w:pPr>
        <w:spacing w:before="80" w:after="20" w:line="360" w:lineRule="auto"/>
        <w:ind w:firstLine="0"/>
      </w:pPr>
      <w:r>
        <w:rPr>
          <w:rFonts w:ascii="Times New Roman" w:hAnsi="Times New Roman"/>
          <w:b/>
          <w:i w:val="0"/>
          <w:sz w:val="24"/>
        </w:rPr>
        <w:t>A. Organization Description</w:t>
      </w:r>
    </w:p>
    <w:p>
      <w:pPr>
        <w:spacing w:before="0" w:after="80" w:line="360" w:lineRule="auto"/>
        <w:ind w:firstLine="720"/>
      </w:pPr>
      <w:r>
        <w:rPr>
          <w:rFonts w:ascii="Times New Roman" w:hAnsi="Times New Roman"/>
          <w:b w:val="0"/>
          <w:i w:val="0"/>
          <w:sz w:val="24"/>
        </w:rPr>
        <w:t>Team Resurrection Inc. (TRI) is a 501(c)(3) nonprofit organization founded in 2010 by Mary “Malika” McCall and headquartered at 172 16th Avenue in Newark, New Jersey’s West Ward. For fifteen years, TRI has provided culturally grounded, trauma-informed services to Newark’s most vulnerable populations—justice-involved youth and adults, families experiencing housing instability, and individuals navigating the complex barriers of reintegration following incarceration.</w:t>
      </w:r>
    </w:p>
    <w:p>
      <w:pPr>
        <w:spacing w:before="0" w:after="80" w:line="360" w:lineRule="auto"/>
        <w:ind w:firstLine="720"/>
      </w:pPr>
      <w:r>
        <w:rPr>
          <w:rFonts w:ascii="Times New Roman" w:hAnsi="Times New Roman"/>
          <w:b w:val="0"/>
          <w:i w:val="0"/>
          <w:sz w:val="24"/>
        </w:rPr>
        <w:t xml:space="preserve">Team Resurrection’s track record demonstrates what intensive, community-based reentry services can achieve: </w:t>
      </w:r>
      <w:r>
        <w:rPr>
          <w:rFonts w:ascii="Times New Roman" w:hAnsi="Times New Roman"/>
          <w:b/>
          <w:i w:val="0"/>
          <w:sz w:val="24"/>
        </w:rPr>
        <w:t>91% of program graduates remain arrest-free</w:t>
      </w:r>
      <w:r>
        <w:rPr>
          <w:rFonts w:ascii="Times New Roman" w:hAnsi="Times New Roman"/>
          <w:b w:val="0"/>
          <w:i w:val="0"/>
          <w:sz w:val="24"/>
        </w:rPr>
        <w:t xml:space="preserve"> in the year following discharge, </w:t>
      </w:r>
      <w:r>
        <w:rPr>
          <w:rFonts w:ascii="Times New Roman" w:hAnsi="Times New Roman"/>
          <w:b/>
          <w:i w:val="0"/>
          <w:sz w:val="24"/>
        </w:rPr>
        <w:t>85% successfully complete</w:t>
      </w:r>
      <w:r>
        <w:rPr>
          <w:rFonts w:ascii="Times New Roman" w:hAnsi="Times New Roman"/>
          <w:b w:val="0"/>
          <w:i w:val="0"/>
          <w:sz w:val="24"/>
        </w:rPr>
        <w:t xml:space="preserve"> program requirements, and </w:t>
      </w:r>
      <w:r>
        <w:rPr>
          <w:rFonts w:ascii="Times New Roman" w:hAnsi="Times New Roman"/>
          <w:b/>
          <w:i w:val="0"/>
          <w:sz w:val="24"/>
        </w:rPr>
        <w:t>78% secure employment</w:t>
      </w:r>
      <w:r>
        <w:rPr>
          <w:rFonts w:ascii="Times New Roman" w:hAnsi="Times New Roman"/>
          <w:b w:val="0"/>
          <w:i w:val="0"/>
          <w:sz w:val="24"/>
        </w:rPr>
        <w:t xml:space="preserve"> within program timeframes. These outcomes reflect a deliberate model built on lived experience, deep community trust, and housing-first principles—the same model now proposed for NJLEAD FY26.</w:t>
      </w:r>
    </w:p>
    <w:p>
      <w:pPr>
        <w:spacing w:before="0" w:after="80" w:line="360" w:lineRule="auto"/>
        <w:ind w:firstLine="720"/>
      </w:pPr>
      <w:r>
        <w:rPr>
          <w:rFonts w:ascii="Times New Roman" w:hAnsi="Times New Roman"/>
          <w:b w:val="0"/>
          <w:i w:val="0"/>
          <w:sz w:val="24"/>
        </w:rPr>
        <w:t>The organization’s founder, Executive Director Mary “Malika” McCall, brings lived experience and professional commitment to TRI’s mission. Having spent ages three through eighteen in New Jersey’s foster care system and having overcome homelessness and justice system involvement, Ms. McCall founded Team Resurrection with the conviction that those who have lived the experience are best positioned to guide others through it. She also operates Giving It A Woman’s Touch Painting &amp; Janitorial Service, a Newark-based business structured as an apprenticeship and employment pathway for program participants.</w:t>
      </w:r>
    </w:p>
    <w:p>
      <w:pPr>
        <w:spacing w:before="0" w:after="80" w:line="360" w:lineRule="auto"/>
        <w:ind w:firstLine="720"/>
      </w:pPr>
      <w:r>
        <w:rPr>
          <w:rFonts w:ascii="Times New Roman" w:hAnsi="Times New Roman"/>
          <w:b w:val="0"/>
          <w:i w:val="0"/>
          <w:sz w:val="24"/>
        </w:rPr>
        <w:t>TRI operates with an independent contractor (1099) staffing model that maximizes grant dollars directed to participant services, achieving 100% on-time reporting and zero compliance violations across all active funding relationships. TRI’s workforce operates across three tiers: 1099 contractors form the core of NJLEAD delivery—a full-time Reentry Services Case Manager and a part-time Support Specialist, both under signed service agreements with full NJDOC documentation requirements; consultants provide specialized services including licensed counseling and employment readiness; and volunteers—including faith-based representatives and TRI alumni peer mentors—support outreach functions at no cost to NJLEAD.</w:t>
      </w:r>
    </w:p>
    <w:p>
      <w:pPr>
        <w:spacing w:before="80" w:after="20" w:line="360" w:lineRule="auto"/>
        <w:ind w:firstLine="0"/>
      </w:pPr>
      <w:r>
        <w:rPr>
          <w:rFonts w:ascii="Times New Roman" w:hAnsi="Times New Roman"/>
          <w:b/>
          <w:i w:val="0"/>
          <w:sz w:val="24"/>
        </w:rPr>
        <w:t>B. Commitment to Diversity, Inclusivity, and Culturally Humble Care</w:t>
      </w:r>
    </w:p>
    <w:p>
      <w:pPr>
        <w:spacing w:before="0" w:after="80" w:line="360" w:lineRule="auto"/>
        <w:ind w:firstLine="720"/>
      </w:pPr>
      <w:r>
        <w:rPr>
          <w:rFonts w:ascii="Times New Roman" w:hAnsi="Times New Roman"/>
          <w:b w:val="0"/>
          <w:i w:val="0"/>
          <w:sz w:val="24"/>
        </w:rPr>
        <w:t>Team Resurrection Inc. is a Black American-owned, minority-owned, woman-owned nonprofit. Staff are Newark residents with firsthand experience navigating the systems—criminal justice, foster care, public housing, and workforce development—that TRI’s participants must also navigate.</w:t>
      </w:r>
    </w:p>
    <w:p>
      <w:pPr>
        <w:spacing w:before="0" w:after="80" w:line="360" w:lineRule="auto"/>
        <w:ind w:firstLine="720"/>
      </w:pPr>
      <w:r>
        <w:rPr>
          <w:rFonts w:ascii="Times New Roman" w:hAnsi="Times New Roman"/>
          <w:b w:val="0"/>
          <w:i w:val="0"/>
          <w:sz w:val="24"/>
        </w:rPr>
        <w:t>Kenneth Wilson, Director of Re-Entry Services, brings 32 years of direct experience inside NJ state correctional institutions, including East Jersey State Prison. His institutional knowledge means TRI can initiate pre-release planning well before a participant’s discharge date. Community Outreach Specialist Shynell McCall serves simultaneously as a Police Sergeant with the Irvington Police Department (11+ years), creating unique trust with participants who have historically had adversarial relationships with law enforcement. TRI’s programming is explicitly gender-responsive. Services are accessible regardless of race, ethnicity, gender identity, sexual orientation, disability, family composition, or immigration status, and are responsive to the needs of parents and their minor children.</w:t>
      </w:r>
    </w:p>
    <w:p>
      <w:pPr>
        <w:spacing w:before="80" w:after="20" w:line="360" w:lineRule="auto"/>
        <w:ind w:firstLine="0"/>
      </w:pPr>
      <w:r>
        <w:rPr>
          <w:rFonts w:ascii="Times New Roman" w:hAnsi="Times New Roman"/>
          <w:b/>
          <w:i w:val="0"/>
          <w:sz w:val="24"/>
        </w:rPr>
        <w:t>C. Demonstrated Need for Trauma-Informed Reentry Services in Newark</w:t>
      </w:r>
    </w:p>
    <w:p>
      <w:pPr>
        <w:spacing w:before="0" w:after="80" w:line="360" w:lineRule="auto"/>
        <w:ind w:firstLine="720"/>
      </w:pPr>
      <w:r>
        <w:rPr>
          <w:rFonts w:ascii="Times New Roman" w:hAnsi="Times New Roman"/>
          <w:b w:val="0"/>
          <w:i w:val="0"/>
          <w:sz w:val="24"/>
        </w:rPr>
        <w:t>Newark sits in Essex County—a county that consistently reports among the highest rates of incarceration and reentry population in the state. Approximately 14,000 individuals are released from NJDOC facilities annually, yet the majority lack stable housing, employment, and community support on their release date. Individuals who have “maxed out” their sentences are the most underserved: they exit incarceration without mandatory check-ins, assigned case managers, or any structured support system.</w:t>
      </w:r>
    </w:p>
    <w:p>
      <w:pPr>
        <w:spacing w:before="0" w:after="80" w:line="360" w:lineRule="auto"/>
        <w:ind w:firstLine="720"/>
      </w:pPr>
      <w:r>
        <w:rPr>
          <w:rFonts w:ascii="Times New Roman" w:hAnsi="Times New Roman"/>
          <w:b w:val="0"/>
          <w:i w:val="0"/>
          <w:sz w:val="24"/>
        </w:rPr>
        <w:t>Research identifies housing instability as the single strongest predictor of recidivism. Nationally, 67% of formerly incarcerated individuals are rearrested within three years (Bureau of Justice Statistics, 2018); over 70% lack stable housing on the day of release (Urban Institute, 2015). Stable housing reduces recidivism by 30–50%, and gainful employment reduces it by up to 40% (Uggen, 2000). Newark’s housing market presents extraordinary barriers—returning citizens lack rental history, verifiable income, and references, and are systematically excluded from the conventional market. Emergency shelter capacity in Essex County is at or near capacity, and existing transitional housing programs are prioritized for individuals with parole requirements. TRI’s NJLEAD FY26 program is designed to close this gap.</w:t>
      </w:r>
    </w:p>
    <w:p>
      <w:pPr>
        <w:spacing w:before="80" w:after="20" w:line="360" w:lineRule="auto"/>
        <w:ind w:firstLine="0"/>
      </w:pPr>
      <w:r>
        <w:rPr>
          <w:rFonts w:ascii="Times New Roman" w:hAnsi="Times New Roman"/>
          <w:b/>
          <w:i w:val="0"/>
          <w:sz w:val="24"/>
        </w:rPr>
        <w:t>D. Current Programs and Demonstrated Outcomes</w:t>
      </w:r>
    </w:p>
    <w:p>
      <w:pPr>
        <w:spacing w:before="0" w:after="80" w:line="360" w:lineRule="auto"/>
        <w:ind w:firstLine="0"/>
      </w:pPr>
      <w:r>
        <w:rPr>
          <w:rFonts w:ascii="Times New Roman" w:hAnsi="Times New Roman"/>
          <w:b w:val="0"/>
          <w:i w:val="0"/>
          <w:sz w:val="24"/>
        </w:rPr>
        <w:t>Team Resurrection Inc. currently operates a portfolio of programs totaling $864,500 in secured funding:</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Federal USDA Summer Food Program</w:t>
      </w:r>
      <w:r>
        <w:rPr>
          <w:rFonts w:ascii="Times New Roman" w:hAnsi="Times New Roman"/>
          <w:b w:val="0"/>
          <w:i w:val="0"/>
          <w:sz w:val="24"/>
        </w:rPr>
        <w:t>—$440,500 cumulative across 8 awards from the NJ Department of Agriculture.</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City of Newark Antiviolence Grant</w:t>
      </w:r>
      <w:r>
        <w:rPr>
          <w:rFonts w:ascii="Times New Roman" w:hAnsi="Times New Roman"/>
          <w:b w:val="0"/>
          <w:i w:val="0"/>
          <w:sz w:val="24"/>
        </w:rPr>
        <w:t>—$124,000 (2023), youth mentoring services.</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Essex County Family Court—New Pathways Transitional Housing</w:t>
      </w:r>
      <w:r>
        <w:rPr>
          <w:rFonts w:ascii="Times New Roman" w:hAnsi="Times New Roman"/>
          <w:b w:val="0"/>
          <w:i w:val="0"/>
          <w:sz w:val="24"/>
        </w:rPr>
        <w:t>—$140,000 (APPROVED 2025).</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NJLEAD FY25 Category B</w:t>
      </w:r>
      <w:r>
        <w:rPr>
          <w:rFonts w:ascii="Times New Roman" w:hAnsi="Times New Roman"/>
          <w:b w:val="0"/>
          <w:i w:val="0"/>
          <w:sz w:val="24"/>
        </w:rPr>
        <w:t>—$160,000 (APPROVED October 2025), establishing TRI as a demonstrated NJLEAD partner with a track record of compliance and service delivery.</w:t>
      </w:r>
    </w:p>
    <w:p>
      <w:pPr>
        <w:spacing w:before="0" w:after="80" w:line="360" w:lineRule="auto"/>
        <w:ind w:firstLine="0"/>
      </w:pPr>
      <w:r>
        <w:rPr>
          <w:rFonts w:ascii="Times New Roman" w:hAnsi="Times New Roman"/>
          <w:b w:val="0"/>
          <w:i w:val="0"/>
          <w:sz w:val="24"/>
        </w:rPr>
        <w:t>Across these programs, TRI has achieved the following documented outcomes:</w:t>
      </w:r>
    </w:p>
    <w:tbl>
      <w:tblPr>
        <w:tblStyle w:val="TableGrid"/>
        <w:tblW w:type="auto" w:w="0"/>
        <w:tblLook w:firstColumn="1" w:firstRow="1" w:lastColumn="0" w:lastRow="0" w:noHBand="0" w:noVBand="1" w:val="04A0"/>
      </w:tblPr>
      <w:tblGrid>
        <w:gridCol w:w="4680"/>
        <w:gridCol w:w="4680"/>
      </w:tblGrid>
      <w:tr>
        <w:tc>
          <w:tcPr>
            <w:tcW w:type="dxa" w:w="4680"/>
            <w:shd w:val="clear" w:color="auto" w:fill="1E3A5F"/>
          </w:tcPr>
          <w:p>
            <w:pPr>
              <w:spacing w:before="40" w:after="40" w:line="360" w:lineRule="auto"/>
              <w:ind w:firstLine="0"/>
            </w:pPr>
            <w:r>
              <w:rPr>
                <w:rFonts w:ascii="Times New Roman" w:hAnsi="Times New Roman"/>
                <w:b/>
                <w:i w:val="0"/>
                <w:color w:val="FFFFFF"/>
                <w:sz w:val="22"/>
              </w:rPr>
              <w:t>Outcome Measure</w:t>
            </w:r>
          </w:p>
        </w:tc>
        <w:tc>
          <w:tcPr>
            <w:tcW w:type="dxa" w:w="4680"/>
            <w:shd w:val="clear" w:color="auto" w:fill="1E3A5F"/>
          </w:tcPr>
          <w:p>
            <w:pPr>
              <w:spacing w:before="40" w:after="40" w:line="360" w:lineRule="auto"/>
              <w:ind w:firstLine="0"/>
            </w:pPr>
            <w:r>
              <w:rPr>
                <w:rFonts w:ascii="Times New Roman" w:hAnsi="Times New Roman"/>
                <w:b/>
                <w:i w:val="0"/>
                <w:color w:val="FFFFFF"/>
                <w:sz w:val="22"/>
              </w:rPr>
              <w:t>Rate Achieved</w:t>
            </w:r>
          </w:p>
        </w:tc>
      </w:tr>
      <w:tr>
        <w:tc>
          <w:tcPr>
            <w:tcW w:type="dxa" w:w="4680"/>
          </w:tcPr>
          <w:p>
            <w:pPr>
              <w:spacing w:before="40" w:after="40" w:line="360" w:lineRule="auto"/>
              <w:ind w:firstLine="0"/>
            </w:pPr>
            <w:r>
              <w:rPr>
                <w:rFonts w:ascii="Times New Roman" w:hAnsi="Times New Roman"/>
                <w:b w:val="0"/>
                <w:i w:val="0"/>
                <w:sz w:val="22"/>
              </w:rPr>
              <w:t>Arrest-free rate post-program discharge</w:t>
            </w:r>
          </w:p>
        </w:tc>
        <w:tc>
          <w:tcPr>
            <w:tcW w:type="dxa" w:w="4680"/>
          </w:tcPr>
          <w:p>
            <w:pPr>
              <w:spacing w:before="40" w:after="40" w:line="360" w:lineRule="auto"/>
              <w:ind w:firstLine="0"/>
            </w:pPr>
            <w:r>
              <w:rPr>
                <w:rFonts w:ascii="Times New Roman" w:hAnsi="Times New Roman"/>
                <w:b w:val="0"/>
                <w:i w:val="0"/>
                <w:sz w:val="22"/>
              </w:rPr>
              <w:t>91%</w:t>
            </w:r>
          </w:p>
        </w:tc>
      </w:tr>
      <w:tr>
        <w:tc>
          <w:tcPr>
            <w:tcW w:type="dxa" w:w="4680"/>
            <w:shd w:val="clear" w:color="auto" w:fill="F9F9F9"/>
          </w:tcPr>
          <w:p>
            <w:pPr>
              <w:spacing w:before="40" w:after="40" w:line="360" w:lineRule="auto"/>
              <w:ind w:firstLine="0"/>
            </w:pPr>
            <w:r>
              <w:rPr>
                <w:rFonts w:ascii="Times New Roman" w:hAnsi="Times New Roman"/>
                <w:b w:val="0"/>
                <w:i w:val="0"/>
                <w:sz w:val="22"/>
              </w:rPr>
              <w:t>Successful program completion rate</w:t>
            </w:r>
          </w:p>
        </w:tc>
        <w:tc>
          <w:tcPr>
            <w:tcW w:type="dxa" w:w="4680"/>
            <w:shd w:val="clear" w:color="auto" w:fill="F9F9F9"/>
          </w:tcPr>
          <w:p>
            <w:pPr>
              <w:spacing w:before="40" w:after="40" w:line="360" w:lineRule="auto"/>
              <w:ind w:firstLine="0"/>
            </w:pPr>
            <w:r>
              <w:rPr>
                <w:rFonts w:ascii="Times New Roman" w:hAnsi="Times New Roman"/>
                <w:b w:val="0"/>
                <w:i w:val="0"/>
                <w:sz w:val="22"/>
              </w:rPr>
              <w:t>85%</w:t>
            </w:r>
          </w:p>
        </w:tc>
      </w:tr>
      <w:tr>
        <w:tc>
          <w:tcPr>
            <w:tcW w:type="dxa" w:w="4680"/>
          </w:tcPr>
          <w:p>
            <w:pPr>
              <w:spacing w:before="40" w:after="40" w:line="360" w:lineRule="auto"/>
              <w:ind w:firstLine="0"/>
            </w:pPr>
            <w:r>
              <w:rPr>
                <w:rFonts w:ascii="Times New Roman" w:hAnsi="Times New Roman"/>
                <w:b w:val="0"/>
                <w:i w:val="0"/>
                <w:sz w:val="22"/>
              </w:rPr>
              <w:t>Employment placement rate</w:t>
            </w:r>
          </w:p>
        </w:tc>
        <w:tc>
          <w:tcPr>
            <w:tcW w:type="dxa" w:w="4680"/>
          </w:tcPr>
          <w:p>
            <w:pPr>
              <w:spacing w:before="40" w:after="40" w:line="360" w:lineRule="auto"/>
              <w:ind w:firstLine="0"/>
            </w:pPr>
            <w:r>
              <w:rPr>
                <w:rFonts w:ascii="Times New Roman" w:hAnsi="Times New Roman"/>
                <w:b w:val="0"/>
                <w:i w:val="0"/>
                <w:sz w:val="22"/>
              </w:rPr>
              <w:t>78%</w:t>
            </w:r>
          </w:p>
        </w:tc>
      </w:tr>
      <w:tr>
        <w:tc>
          <w:tcPr>
            <w:tcW w:type="dxa" w:w="4680"/>
            <w:shd w:val="clear" w:color="auto" w:fill="F9F9F9"/>
          </w:tcPr>
          <w:p>
            <w:pPr>
              <w:spacing w:before="40" w:after="40" w:line="360" w:lineRule="auto"/>
              <w:ind w:firstLine="0"/>
            </w:pPr>
            <w:r>
              <w:rPr>
                <w:rFonts w:ascii="Times New Roman" w:hAnsi="Times New Roman"/>
                <w:b w:val="0"/>
                <w:i w:val="0"/>
                <w:sz w:val="22"/>
              </w:rPr>
              <w:t>Stable housing placement post-program</w:t>
            </w:r>
          </w:p>
        </w:tc>
        <w:tc>
          <w:tcPr>
            <w:tcW w:type="dxa" w:w="4680"/>
            <w:shd w:val="clear" w:color="auto" w:fill="F9F9F9"/>
          </w:tcPr>
          <w:p>
            <w:pPr>
              <w:spacing w:before="40" w:after="40" w:line="360" w:lineRule="auto"/>
              <w:ind w:firstLine="0"/>
            </w:pPr>
            <w:r>
              <w:rPr>
                <w:rFonts w:ascii="Times New Roman" w:hAnsi="Times New Roman"/>
                <w:b w:val="0"/>
                <w:i w:val="0"/>
                <w:sz w:val="22"/>
              </w:rPr>
              <w:t>70%</w:t>
            </w:r>
          </w:p>
        </w:tc>
      </w:tr>
      <w:tr>
        <w:tc>
          <w:tcPr>
            <w:tcW w:type="dxa" w:w="4680"/>
          </w:tcPr>
          <w:p>
            <w:pPr>
              <w:spacing w:before="40" w:after="40" w:line="360" w:lineRule="auto"/>
              <w:ind w:firstLine="0"/>
            </w:pPr>
            <w:r>
              <w:rPr>
                <w:rFonts w:ascii="Times New Roman" w:hAnsi="Times New Roman"/>
                <w:b w:val="0"/>
                <w:i w:val="0"/>
                <w:sz w:val="22"/>
              </w:rPr>
              <w:t>Court compliance rates (where applicable)</w:t>
            </w:r>
          </w:p>
        </w:tc>
        <w:tc>
          <w:tcPr>
            <w:tcW w:type="dxa" w:w="4680"/>
          </w:tcPr>
          <w:p>
            <w:pPr>
              <w:spacing w:before="40" w:after="40" w:line="360" w:lineRule="auto"/>
              <w:ind w:firstLine="0"/>
            </w:pPr>
            <w:r>
              <w:rPr>
                <w:rFonts w:ascii="Times New Roman" w:hAnsi="Times New Roman"/>
                <w:b w:val="0"/>
                <w:i w:val="0"/>
                <w:sz w:val="22"/>
              </w:rPr>
              <w:t>90%</w:t>
            </w:r>
          </w:p>
        </w:tc>
      </w:tr>
      <w:tr>
        <w:tc>
          <w:tcPr>
            <w:tcW w:type="dxa" w:w="4680"/>
            <w:shd w:val="clear" w:color="auto" w:fill="F9F9F9"/>
          </w:tcPr>
          <w:p>
            <w:pPr>
              <w:spacing w:before="40" w:after="40" w:line="360" w:lineRule="auto"/>
              <w:ind w:firstLine="0"/>
            </w:pPr>
            <w:r>
              <w:rPr>
                <w:rFonts w:ascii="Times New Roman" w:hAnsi="Times New Roman"/>
                <w:b w:val="0"/>
                <w:i w:val="0"/>
                <w:sz w:val="22"/>
              </w:rPr>
              <w:t>On-time grant reporting / compliance violations</w:t>
            </w:r>
          </w:p>
        </w:tc>
        <w:tc>
          <w:tcPr>
            <w:tcW w:type="dxa" w:w="4680"/>
            <w:shd w:val="clear" w:color="auto" w:fill="F9F9F9"/>
          </w:tcPr>
          <w:p>
            <w:pPr>
              <w:spacing w:before="40" w:after="40" w:line="360" w:lineRule="auto"/>
              <w:ind w:firstLine="0"/>
            </w:pPr>
            <w:r>
              <w:rPr>
                <w:rFonts w:ascii="Times New Roman" w:hAnsi="Times New Roman"/>
                <w:b w:val="0"/>
                <w:i w:val="0"/>
                <w:sz w:val="22"/>
              </w:rPr>
              <w:t>100% / Zero</w:t>
            </w:r>
          </w:p>
        </w:tc>
      </w:tr>
    </w:tbl>
    <w:p>
      <w:pPr>
        <w:spacing w:before="120" w:after="80" w:line="360" w:lineRule="auto"/>
        <w:ind w:firstLine="0"/>
      </w:pPr>
    </w:p>
    <w:p>
      <w:pPr>
        <w:spacing w:before="80" w:after="20" w:line="360" w:lineRule="auto"/>
        <w:ind w:firstLine="0"/>
      </w:pPr>
      <w:r>
        <w:rPr>
          <w:rFonts w:ascii="Times New Roman" w:hAnsi="Times New Roman"/>
          <w:b/>
          <w:i w:val="0"/>
          <w:sz w:val="24"/>
        </w:rPr>
        <w:t>E. Governance Structure and Reporting</w:t>
      </w:r>
    </w:p>
    <w:p>
      <w:pPr>
        <w:spacing w:before="0" w:after="80" w:line="360" w:lineRule="auto"/>
        <w:ind w:firstLine="720"/>
      </w:pPr>
      <w:r>
        <w:rPr>
          <w:rFonts w:ascii="Times New Roman" w:hAnsi="Times New Roman"/>
          <w:b w:val="0"/>
          <w:i w:val="0"/>
          <w:sz w:val="24"/>
        </w:rPr>
        <w:t>TRI is governed by a Board of Directors and led by Executive Director Mary “Malika” McCall. Reentry Support Specialists report to Director of Re-Entry Services Kenneth Wilson, who reports to the Executive Director. Program and Grants Manager Rebecca Mohr, LSW, holds cross-functional responsibility for programmatic compliance and fiscal reporting, ensuring direct access to agency leadership as required by NJDOC.</w:t>
      </w:r>
    </w:p>
    <w:p>
      <w:pPr>
        <w:spacing w:before="80" w:after="20" w:line="360" w:lineRule="auto"/>
        <w:ind w:firstLine="0"/>
      </w:pPr>
      <w:r>
        <w:rPr>
          <w:rFonts w:ascii="Times New Roman" w:hAnsi="Times New Roman"/>
          <w:b/>
          <w:i w:val="0"/>
          <w:sz w:val="24"/>
        </w:rPr>
        <w:t>F. Existing State, County, and Federal Contracts</w:t>
      </w:r>
    </w:p>
    <w:p>
      <w:pPr>
        <w:spacing w:before="0" w:after="80" w:line="360" w:lineRule="auto"/>
        <w:ind w:firstLine="720"/>
      </w:pPr>
      <w:r>
        <w:rPr>
          <w:rFonts w:ascii="Times New Roman" w:hAnsi="Times New Roman"/>
          <w:b w:val="0"/>
          <w:i w:val="0"/>
          <w:sz w:val="24"/>
        </w:rPr>
        <w:t>TRI currently holds: NJLEAD FY25 Category B (NJDOC), New Pathways Transitional Housing (Essex County Family Court), City of Newark Antiviolence Grant, and Federal USDA Summer Food Program (NJ Dept. of Agriculture). All contracts are managed in full compliance with reporting and fiscal requirements. TRI understands that NJLEAD funds cannot supplant existing services and will use this award exclusively to expand programming for individuals not covered under existing contracts.</w:t>
      </w:r>
    </w:p>
    <w:p>
      <w:pPr>
        <w:spacing w:before="160" w:after="60" w:line="360" w:lineRule="auto"/>
        <w:ind w:firstLine="0"/>
      </w:pPr>
      <w:r>
        <w:rPr>
          <w:rFonts w:ascii="Times New Roman" w:hAnsi="Times New Roman"/>
          <w:b/>
          <w:i w:val="0"/>
          <w:sz w:val="24"/>
        </w:rPr>
        <w:t>Section II: Program Approach</w:t>
      </w:r>
    </w:p>
    <w:p>
      <w:pPr>
        <w:spacing w:before="80" w:after="20" w:line="360" w:lineRule="auto"/>
        <w:ind w:firstLine="0"/>
      </w:pPr>
      <w:r>
        <w:rPr>
          <w:rFonts w:ascii="Times New Roman" w:hAnsi="Times New Roman"/>
          <w:b/>
          <w:i w:val="0"/>
          <w:sz w:val="24"/>
        </w:rPr>
        <w:t>A. Program Design and Services</w:t>
      </w:r>
    </w:p>
    <w:p>
      <w:pPr>
        <w:spacing w:before="0" w:after="80" w:line="360" w:lineRule="auto"/>
        <w:ind w:firstLine="720"/>
      </w:pPr>
      <w:r>
        <w:rPr>
          <w:rFonts w:ascii="Times New Roman" w:hAnsi="Times New Roman"/>
          <w:b w:val="0"/>
          <w:i w:val="0"/>
          <w:sz w:val="24"/>
        </w:rPr>
        <w:t>TRI’s NJLEAD FY26 program employs a housing-first model that treats stable shelter as the essential precondition for all other reintegration outcomes. The program combines emergency housing for individuals with no immediate placement with short-term supportive housing for those transitioning toward independent living, providing a seamless continuum of care across both phases.</w:t>
      </w:r>
    </w:p>
    <w:p>
      <w:pPr>
        <w:spacing w:before="0" w:after="80" w:line="360" w:lineRule="auto"/>
        <w:ind w:firstLine="720"/>
      </w:pPr>
      <w:r>
        <w:rPr>
          <w:rFonts w:ascii="Times New Roman" w:hAnsi="Times New Roman"/>
          <w:b w:val="0"/>
          <w:i w:val="0"/>
          <w:sz w:val="24"/>
        </w:rPr>
        <w:t>TRI’s model addresses the most dangerous moment in reentry: the first 72 hours after release. Nationally, 30% of recidivism events occur within the first two weeks of release—largely because returning citizens have no safe place to go. TRI’s 24/7 Emergency Housing tier eliminates this gap. No participant leaves the facility without a confirmed bed.</w:t>
      </w:r>
    </w:p>
    <w:p>
      <w:pPr>
        <w:spacing w:before="0" w:after="80" w:line="360" w:lineRule="auto"/>
        <w:ind w:firstLine="0"/>
      </w:pPr>
      <w:r>
        <w:rPr>
          <w:rFonts w:ascii="Times New Roman" w:hAnsi="Times New Roman"/>
          <w:b w:val="0"/>
          <w:i w:val="0"/>
          <w:sz w:val="24"/>
        </w:rPr>
        <w:t>The program offers the following core services to all enrolled participants:</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Intake and Stabilization Planning</w:t>
      </w:r>
      <w:r>
        <w:rPr>
          <w:rFonts w:ascii="Times New Roman" w:hAnsi="Times New Roman"/>
          <w:b w:val="0"/>
          <w:i w:val="0"/>
          <w:sz w:val="24"/>
        </w:rPr>
        <w:t>—Individualized plan within 48 hours covering housing, employment, and service referrals.</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24/7 Emergency Housing</w:t>
      </w:r>
      <w:r>
        <w:rPr>
          <w:rFonts w:ascii="Times New Roman" w:hAnsi="Times New Roman"/>
          <w:b w:val="0"/>
          <w:i w:val="0"/>
          <w:sz w:val="24"/>
        </w:rPr>
        <w:t>—Immediate placement at TRI’s 11-bed facility or vetted local providers, at or below $99/person/day. Eligible family members may receive support when sharing a household with the returning citizen.</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Short-Term Transitional Housing</w:t>
      </w:r>
      <w:r>
        <w:rPr>
          <w:rFonts w:ascii="Times New Roman" w:hAnsi="Times New Roman"/>
          <w:b w:val="0"/>
          <w:i w:val="0"/>
          <w:sz w:val="24"/>
        </w:rPr>
        <w:t>—Vetted placements for 61–180 days; extended arrangements up to one year available through TRI’s housing partner network.</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Fresh Start Support</w:t>
      </w:r>
      <w:r>
        <w:rPr>
          <w:rFonts w:ascii="Times New Roman" w:hAnsi="Times New Roman"/>
          <w:b w:val="0"/>
          <w:i w:val="0"/>
          <w:sz w:val="24"/>
        </w:rPr>
        <w:t>—Security deposits, first month’s rent, and basic household furnishings for transition to independent housing.</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Intensive Case Management</w:t>
      </w:r>
      <w:r>
        <w:rPr>
          <w:rFonts w:ascii="Times New Roman" w:hAnsi="Times New Roman"/>
          <w:b w:val="0"/>
          <w:i w:val="0"/>
          <w:sz w:val="24"/>
        </w:rPr>
        <w:t>—Minimum two contacts per week with crisis availability; individualized service plans with housing and employment goals.</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Trauma-Informed Counseling</w:t>
      </w:r>
      <w:r>
        <w:rPr>
          <w:rFonts w:ascii="Times New Roman" w:hAnsi="Times New Roman"/>
          <w:b w:val="0"/>
          <w:i w:val="0"/>
          <w:sz w:val="24"/>
        </w:rPr>
        <w:t>—Licensed counseling for trauma, substance use, and mental health in group and individual formats.</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Employment Readiness and Placement</w:t>
      </w:r>
      <w:r>
        <w:rPr>
          <w:rFonts w:ascii="Times New Roman" w:hAnsi="Times New Roman"/>
          <w:b w:val="0"/>
          <w:i w:val="0"/>
          <w:sz w:val="24"/>
        </w:rPr>
        <w:t>—Job coaching, resume development, interview preparation, attire assistance, and employer outreach.</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Education and Vocational Access</w:t>
      </w:r>
      <w:r>
        <w:rPr>
          <w:rFonts w:ascii="Times New Roman" w:hAnsi="Times New Roman"/>
          <w:b w:val="0"/>
          <w:i w:val="0"/>
          <w:sz w:val="24"/>
        </w:rPr>
        <w:t>—GED support, community college enrollment, and Essex County vocational training connections.</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Family Reunification</w:t>
      </w:r>
      <w:r>
        <w:rPr>
          <w:rFonts w:ascii="Times New Roman" w:hAnsi="Times New Roman"/>
          <w:b w:val="0"/>
          <w:i w:val="0"/>
          <w:sz w:val="24"/>
        </w:rPr>
        <w:t>—Facilitated meetings, mediation, and logistical support for family contact.</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Transportation</w:t>
      </w:r>
      <w:r>
        <w:rPr>
          <w:rFonts w:ascii="Times New Roman" w:hAnsi="Times New Roman"/>
          <w:b w:val="0"/>
          <w:i w:val="0"/>
          <w:sz w:val="24"/>
        </w:rPr>
        <w:t>—Monthly bus passes for service, employment, and appointment access.</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Food Security</w:t>
      </w:r>
      <w:r>
        <w:rPr>
          <w:rFonts w:ascii="Times New Roman" w:hAnsi="Times New Roman"/>
          <w:b w:val="0"/>
          <w:i w:val="0"/>
          <w:sz w:val="24"/>
        </w:rPr>
        <w:t>—Emergency grocery assistance and nutritional support during the critical first weeks of reintegration, supplementing TRI’s USDA Summer Food Program partnerships.</w:t>
      </w:r>
    </w:p>
    <w:p>
      <w:pPr>
        <w:spacing w:before="80" w:after="20" w:line="360" w:lineRule="auto"/>
        <w:ind w:firstLine="0"/>
      </w:pPr>
      <w:r>
        <w:rPr>
          <w:rFonts w:ascii="Times New Roman" w:hAnsi="Times New Roman"/>
          <w:b/>
          <w:i w:val="0"/>
          <w:sz w:val="24"/>
        </w:rPr>
        <w:t>B. Total Returning Citizens to Be Served</w:t>
      </w:r>
    </w:p>
    <w:p>
      <w:pPr>
        <w:spacing w:before="0" w:after="80" w:line="360" w:lineRule="auto"/>
        <w:ind w:firstLine="720"/>
      </w:pPr>
      <w:r>
        <w:rPr>
          <w:rFonts w:ascii="Times New Roman" w:hAnsi="Times New Roman"/>
          <w:b w:val="0"/>
          <w:i w:val="0"/>
          <w:sz w:val="24"/>
        </w:rPr>
        <w:t>TRI proposes to serve 10 to 14 adults during the FY26 program year, with a baseline target of 12 enrolled participants. Each participant will receive intensive case management, transitional housing averaging five months within the 61- to 180-day range, and comprehensive wraparound services. Eligible participants are adults released from New Jersey state correctional facilities within the past seven years, with priority given to individuals who have “maxed out” their sentences. Service area is Newark, with primary focus on the West Ward. This participant volume reflects an intentional depth-over-breadth design: research confirms that intensive, well-resourced programming with smaller cohorts produces superior long-term outcomes (Petersilia, 2003; La Vigne et al., 2008). TRI’s own 85% completion rate and 91% arrest-free rate are the product of that intensity.</w:t>
      </w:r>
    </w:p>
    <w:p>
      <w:pPr>
        <w:spacing w:before="80" w:after="20" w:line="360" w:lineRule="auto"/>
        <w:ind w:firstLine="0"/>
      </w:pPr>
      <w:r>
        <w:rPr>
          <w:rFonts w:ascii="Times New Roman" w:hAnsi="Times New Roman"/>
          <w:b/>
          <w:i w:val="0"/>
          <w:sz w:val="24"/>
        </w:rPr>
        <w:t>C. 24/7 Emergency and Transitional Housing Assistance Plan</w:t>
      </w:r>
    </w:p>
    <w:p>
      <w:pPr>
        <w:spacing w:before="0" w:after="80" w:line="360" w:lineRule="auto"/>
        <w:ind w:firstLine="720"/>
      </w:pPr>
      <w:r>
        <w:rPr>
          <w:rFonts w:ascii="Times New Roman" w:hAnsi="Times New Roman"/>
          <w:b w:val="0"/>
          <w:i w:val="0"/>
          <w:sz w:val="24"/>
        </w:rPr>
        <w:t>TRI’s housing model operates in two tiers. Participants move through tiers based on individual readiness, and TRI’s partner network accommodates stays from under one week through extended arrangements up to one year.</w:t>
      </w:r>
    </w:p>
    <w:p>
      <w:pPr>
        <w:spacing w:before="0" w:after="80" w:line="360" w:lineRule="auto"/>
        <w:ind w:firstLine="720"/>
      </w:pPr>
      <w:r>
        <w:rPr>
          <w:rFonts w:ascii="Times New Roman" w:hAnsi="Times New Roman"/>
          <w:b/>
          <w:i w:val="0"/>
          <w:sz w:val="24"/>
        </w:rPr>
        <w:t>Tier 1—24/7 Emergency Housing (up to 30 days, max $99/person/day):</w:t>
      </w:r>
      <w:r>
        <w:rPr>
          <w:rFonts w:ascii="Times New Roman" w:hAnsi="Times New Roman"/>
          <w:b w:val="0"/>
          <w:i w:val="0"/>
          <w:sz w:val="24"/>
        </w:rPr>
        <w:t xml:space="preserve"> For participants who exit prison with no immediate housing, TRI provides emergency housing at pre-vetted Newark facilities. The $99/day rate covers shelter, meals, and basic necessities. Malika McCall’s direct relationships with housing providers ensure beds are accessible within hours of release.</w:t>
      </w:r>
    </w:p>
    <w:p>
      <w:pPr>
        <w:spacing w:before="0" w:after="80" w:line="360" w:lineRule="auto"/>
        <w:ind w:firstLine="720"/>
      </w:pPr>
      <w:r>
        <w:rPr>
          <w:rFonts w:ascii="Times New Roman" w:hAnsi="Times New Roman"/>
          <w:b/>
          <w:i w:val="0"/>
          <w:sz w:val="24"/>
        </w:rPr>
        <w:t>Tier 2—Short-Term Transitional Housing (61–180 days):</w:t>
      </w:r>
      <w:r>
        <w:rPr>
          <w:rFonts w:ascii="Times New Roman" w:hAnsi="Times New Roman"/>
          <w:b w:val="0"/>
          <w:i w:val="0"/>
          <w:sz w:val="24"/>
        </w:rPr>
        <w:t xml:space="preserve"> The primary housing track. TRI works with pre-screened landlords, boarding house operators, and transitional housing facilities in Newark’s West Ward, vetted for safety, proximity to employment and transportation, and alignment with participant needs. Housing costs average approximately $1,500/month per participant. Extended arrangements beyond 180 days are available through TRI’s landlord network.</w:t>
      </w:r>
    </w:p>
    <w:p>
      <w:pPr>
        <w:spacing w:before="0" w:after="80" w:line="360" w:lineRule="auto"/>
        <w:ind w:firstLine="720"/>
      </w:pPr>
      <w:r>
        <w:rPr>
          <w:rFonts w:ascii="Times New Roman" w:hAnsi="Times New Roman"/>
          <w:b/>
          <w:i w:val="0"/>
          <w:sz w:val="24"/>
        </w:rPr>
        <w:t>Fresh Start Transition:</w:t>
      </w:r>
      <w:r>
        <w:rPr>
          <w:rFonts w:ascii="Times New Roman" w:hAnsi="Times New Roman"/>
          <w:b w:val="0"/>
          <w:i w:val="0"/>
          <w:sz w:val="24"/>
        </w:rPr>
        <w:t xml:space="preserve"> As participants approach the end of their placement, case managers secure independent housing. Fresh Start funds cover security deposit, first month’s rent, and basic household items, leveraging Malika McCall’s extensive Newark housing network.</w:t>
      </w:r>
    </w:p>
    <w:p>
      <w:pPr>
        <w:spacing w:before="80" w:after="20" w:line="360" w:lineRule="auto"/>
        <w:ind w:firstLine="0"/>
      </w:pPr>
      <w:r>
        <w:rPr>
          <w:rFonts w:ascii="Times New Roman" w:hAnsi="Times New Roman"/>
          <w:b/>
          <w:i w:val="0"/>
          <w:sz w:val="24"/>
        </w:rPr>
        <w:t>D. Existing and Proposed Partnerships</w:t>
      </w:r>
    </w:p>
    <w:p>
      <w:pPr>
        <w:spacing w:before="0" w:after="80" w:line="360" w:lineRule="auto"/>
        <w:ind w:firstLine="0"/>
      </w:pPr>
      <w:r>
        <w:rPr>
          <w:rFonts w:ascii="Times New Roman" w:hAnsi="Times New Roman"/>
          <w:b w:val="0"/>
          <w:i w:val="0"/>
          <w:sz w:val="24"/>
        </w:rPr>
        <w:t>TRI’s effectiveness is built on a robust network of community partnerships. Key partners for FY26 include:</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East Jersey State Prison</w:t>
      </w:r>
      <w:r>
        <w:rPr>
          <w:rFonts w:ascii="Times New Roman" w:hAnsi="Times New Roman"/>
          <w:b w:val="0"/>
          <w:i w:val="0"/>
          <w:sz w:val="24"/>
        </w:rPr>
        <w:t>—Kenneth Wilson’s 32-year network enables pre-release planning and warm handoffs.</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Newark WorkForce Development Center</w:t>
      </w:r>
      <w:r>
        <w:rPr>
          <w:rFonts w:ascii="Times New Roman" w:hAnsi="Times New Roman"/>
          <w:b w:val="0"/>
          <w:i w:val="0"/>
          <w:sz w:val="24"/>
        </w:rPr>
        <w:t>—Employment readiness workshops, skills training, and job placement.</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Essex County Vocational Schools</w:t>
      </w:r>
      <w:r>
        <w:rPr>
          <w:rFonts w:ascii="Times New Roman" w:hAnsi="Times New Roman"/>
          <w:b w:val="0"/>
          <w:i w:val="0"/>
          <w:sz w:val="24"/>
        </w:rPr>
        <w:t>—Vocational and technical training programs.</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Newark Community Solutions</w:t>
      </w:r>
      <w:r>
        <w:rPr>
          <w:rFonts w:ascii="Times New Roman" w:hAnsi="Times New Roman"/>
          <w:b w:val="0"/>
          <w:i w:val="0"/>
          <w:sz w:val="24"/>
        </w:rPr>
        <w:t>—Court navigation and legal support.</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Giving It A Woman’s Touch Painting &amp; Janitorial</w:t>
      </w:r>
      <w:r>
        <w:rPr>
          <w:rFonts w:ascii="Times New Roman" w:hAnsi="Times New Roman"/>
          <w:b w:val="0"/>
          <w:i w:val="0"/>
          <w:sz w:val="24"/>
        </w:rPr>
        <w:t xml:space="preserve"> (Malika McCall, Owner)—Direct employer; structured apprenticeship.</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Local Faith-Based Organizations</w:t>
      </w:r>
      <w:r>
        <w:rPr>
          <w:rFonts w:ascii="Times New Roman" w:hAnsi="Times New Roman"/>
          <w:b w:val="0"/>
          <w:i w:val="0"/>
          <w:sz w:val="24"/>
        </w:rPr>
        <w:t>—Emergency shelter, community support, and referrals.</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NJDOC CERI</w:t>
      </w:r>
      <w:r>
        <w:rPr>
          <w:rFonts w:ascii="Times New Roman" w:hAnsi="Times New Roman"/>
          <w:b w:val="0"/>
          <w:i w:val="0"/>
          <w:sz w:val="24"/>
        </w:rPr>
        <w:t>—Primary funder liaison; TRI attends all CERI meetings and facility reentry events.</w:t>
      </w:r>
    </w:p>
    <w:p>
      <w:pPr>
        <w:spacing w:before="80" w:after="20" w:line="360" w:lineRule="auto"/>
        <w:ind w:firstLine="0"/>
      </w:pPr>
      <w:r>
        <w:rPr>
          <w:rFonts w:ascii="Times New Roman" w:hAnsi="Times New Roman"/>
          <w:b/>
          <w:i w:val="0"/>
          <w:sz w:val="24"/>
        </w:rPr>
        <w:t>E. Definition of Successful Program Completion</w:t>
      </w:r>
    </w:p>
    <w:p>
      <w:pPr>
        <w:spacing w:before="0" w:after="80" w:line="360" w:lineRule="auto"/>
        <w:ind w:firstLine="0"/>
      </w:pPr>
      <w:r>
        <w:rPr>
          <w:rFonts w:ascii="Times New Roman" w:hAnsi="Times New Roman"/>
          <w:b w:val="0"/>
          <w:i w:val="0"/>
          <w:sz w:val="24"/>
        </w:rPr>
        <w:t>A participant is considered to have successfully completed the TRI NJLEAD FY26 program upon meeting all of the following criteria:</w:t>
      </w:r>
    </w:p>
    <w:p>
      <w:pPr>
        <w:spacing w:before="0" w:after="40" w:line="360" w:lineRule="auto"/>
        <w:ind w:firstLine="0" w:left="432"/>
      </w:pPr>
      <w:r>
        <w:rPr>
          <w:rFonts w:ascii="Times New Roman" w:hAnsi="Times New Roman"/>
          <w:b w:val="0"/>
          <w:i w:val="0"/>
          <w:sz w:val="24"/>
        </w:rPr>
        <w:t>1.</w:t>
        <w:tab/>
        <w:t>Completion of a minimum 90-day active program enrollment period.</w:t>
      </w:r>
    </w:p>
    <w:p>
      <w:pPr>
        <w:spacing w:before="0" w:after="40" w:line="360" w:lineRule="auto"/>
        <w:ind w:firstLine="0" w:left="432"/>
      </w:pPr>
      <w:r>
        <w:rPr>
          <w:rFonts w:ascii="Times New Roman" w:hAnsi="Times New Roman"/>
          <w:b w:val="0"/>
          <w:i w:val="0"/>
          <w:sz w:val="24"/>
        </w:rPr>
        <w:t>2.</w:t>
        <w:tab/>
        <w:t>Secured stable housing—either independent, shared, or transitional—at program exit, documented by a signed lease or letter of placement.</w:t>
      </w:r>
    </w:p>
    <w:p>
      <w:pPr>
        <w:spacing w:before="0" w:after="40" w:line="360" w:lineRule="auto"/>
        <w:ind w:firstLine="0" w:left="432"/>
      </w:pPr>
      <w:r>
        <w:rPr>
          <w:rFonts w:ascii="Times New Roman" w:hAnsi="Times New Roman"/>
          <w:b w:val="0"/>
          <w:i w:val="0"/>
          <w:sz w:val="24"/>
        </w:rPr>
        <w:t>3.</w:t>
        <w:tab/>
        <w:t>Active connection to at least one employment, education, or vocational training opportunity at exit.</w:t>
      </w:r>
    </w:p>
    <w:p>
      <w:pPr>
        <w:spacing w:before="0" w:after="40" w:line="360" w:lineRule="auto"/>
        <w:ind w:firstLine="0" w:left="432"/>
      </w:pPr>
      <w:r>
        <w:rPr>
          <w:rFonts w:ascii="Times New Roman" w:hAnsi="Times New Roman"/>
          <w:b w:val="0"/>
          <w:i w:val="0"/>
          <w:sz w:val="24"/>
        </w:rPr>
        <w:t>4.</w:t>
        <w:tab/>
        <w:t>Connection to community support systems (peer support, faith community, family network) at exit.</w:t>
      </w:r>
    </w:p>
    <w:p>
      <w:pPr>
        <w:spacing w:before="0" w:after="40" w:line="360" w:lineRule="auto"/>
        <w:ind w:firstLine="0" w:left="432"/>
      </w:pPr>
      <w:r>
        <w:rPr>
          <w:rFonts w:ascii="Times New Roman" w:hAnsi="Times New Roman"/>
          <w:b w:val="0"/>
          <w:i w:val="0"/>
          <w:sz w:val="24"/>
        </w:rPr>
        <w:t>5.</w:t>
        <w:tab/>
        <w:t>Zero new arrests during the program period.</w:t>
      </w:r>
    </w:p>
    <w:p>
      <w:pPr>
        <w:spacing w:before="0" w:after="40" w:line="360" w:lineRule="auto"/>
        <w:ind w:firstLine="0" w:left="432"/>
      </w:pPr>
      <w:r>
        <w:rPr>
          <w:rFonts w:ascii="Times New Roman" w:hAnsi="Times New Roman"/>
          <w:b w:val="0"/>
          <w:i w:val="0"/>
          <w:sz w:val="24"/>
        </w:rPr>
        <w:t>6.</w:t>
        <w:tab/>
        <w:t>Completion of a structured exit interview and individualized transition plan developed jointly with the case manager.</w:t>
      </w:r>
    </w:p>
    <w:p>
      <w:pPr>
        <w:spacing w:before="0" w:after="80" w:line="360" w:lineRule="auto"/>
        <w:ind w:firstLine="720"/>
      </w:pPr>
      <w:r>
        <w:rPr>
          <w:rFonts w:ascii="Times New Roman" w:hAnsi="Times New Roman"/>
          <w:b w:val="0"/>
          <w:i w:val="0"/>
          <w:sz w:val="24"/>
        </w:rPr>
        <w:t>Participants who exit prior to 90 days due to circumstances beyond their control are assessed individually; voluntary disengagement without meeting exit criteria is recorded as unsuccessful completion. All exits are documented and reported to NJDOC in monthly programmatic reports.</w:t>
      </w:r>
    </w:p>
    <w:p>
      <w:pPr>
        <w:spacing w:before="80" w:after="20" w:line="360" w:lineRule="auto"/>
        <w:ind w:firstLine="0"/>
      </w:pPr>
      <w:r>
        <w:rPr>
          <w:rFonts w:ascii="Times New Roman" w:hAnsi="Times New Roman"/>
          <w:b/>
          <w:i w:val="0"/>
          <w:sz w:val="24"/>
        </w:rPr>
        <w:t>F. Outreach and Advertising</w:t>
      </w:r>
    </w:p>
    <w:p>
      <w:pPr>
        <w:spacing w:before="0" w:after="80" w:line="360" w:lineRule="auto"/>
        <w:ind w:firstLine="720"/>
      </w:pPr>
      <w:r>
        <w:rPr>
          <w:rFonts w:ascii="Times New Roman" w:hAnsi="Times New Roman"/>
          <w:b w:val="0"/>
          <w:i w:val="0"/>
          <w:sz w:val="24"/>
        </w:rPr>
        <w:t>TRI conducts outreach through: (1) direct outreach at NJDOC facilities through Kenneth Wilson’s network and staff attendance at reentry events; (2) NJDOC CERI partnership; (3) referrals from faith leaders and West Ward organizations; (4) TRI alumni serving as credible messengers; and (5) Newark Community Solutions referrals for individuals with open court matters.</w:t>
      </w:r>
    </w:p>
    <w:p>
      <w:pPr>
        <w:spacing w:before="80" w:after="20" w:line="360" w:lineRule="auto"/>
        <w:ind w:firstLine="0"/>
      </w:pPr>
      <w:r>
        <w:rPr>
          <w:rFonts w:ascii="Times New Roman" w:hAnsi="Times New Roman"/>
          <w:b/>
          <w:i w:val="0"/>
          <w:sz w:val="24"/>
        </w:rPr>
        <w:t>G. Businesses That Hire Formerly Incarcerated Individuals</w:t>
      </w:r>
    </w:p>
    <w:p>
      <w:pPr>
        <w:spacing w:before="0" w:after="80" w:line="360" w:lineRule="auto"/>
        <w:ind w:firstLine="720"/>
      </w:pPr>
      <w:r>
        <w:rPr>
          <w:rFonts w:ascii="Times New Roman" w:hAnsi="Times New Roman"/>
          <w:b w:val="0"/>
          <w:i w:val="0"/>
          <w:sz w:val="24"/>
        </w:rPr>
        <w:t>TRI maintains employment relationships with: Giving It A Woman’s Touch Painting &amp; Janitorial Service (Malika McCall, owner—structured apprenticeship); local construction and building trades contractors; Newark-area food service employers; and West Ward retail businesses whose owners have personal relationships with TRI leadership.</w:t>
      </w:r>
    </w:p>
    <w:p>
      <w:pPr>
        <w:spacing w:before="80" w:after="20" w:line="360" w:lineRule="auto"/>
        <w:ind w:firstLine="0"/>
      </w:pPr>
      <w:r>
        <w:rPr>
          <w:rFonts w:ascii="Times New Roman" w:hAnsi="Times New Roman"/>
          <w:b/>
          <w:i w:val="0"/>
          <w:sz w:val="24"/>
        </w:rPr>
        <w:t>H. Anticipated Challenges and Mitigations</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Housing scarcity in Newark:</w:t>
      </w:r>
      <w:r>
        <w:rPr>
          <w:rFonts w:ascii="Times New Roman" w:hAnsi="Times New Roman"/>
          <w:b w:val="0"/>
          <w:i w:val="0"/>
          <w:sz w:val="24"/>
        </w:rPr>
        <w:t xml:space="preserve"> Mitigated by TRI’s pre-established landlord network, security deposit/first-month coverage, and Malika McCall’s fifteen years of direct relationships with West Ward housing providers.</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1099 contractor staffing model:</w:t>
      </w:r>
      <w:r>
        <w:rPr>
          <w:rFonts w:ascii="Times New Roman" w:hAnsi="Times New Roman"/>
          <w:b w:val="0"/>
          <w:i w:val="0"/>
          <w:sz w:val="24"/>
        </w:rPr>
        <w:t xml:space="preserve"> Contractors operate under written agreements requiring NJDOC documentation compliance, mandatory meeting attendance, and direct supervisor accountability. The model is a fiscal advantage: $0 fringe overhead means more funds flow to participant services.</w:t>
      </w:r>
    </w:p>
    <w:p>
      <w:pPr>
        <w:spacing w:before="0" w:after="40" w:line="360" w:lineRule="auto"/>
        <w:ind w:hanging="360" w:left="720"/>
      </w:pPr>
      <w:r>
        <w:rPr>
          <w:rFonts w:ascii="Times New Roman" w:hAnsi="Times New Roman"/>
          <w:b w:val="0"/>
          <w:i w:val="0"/>
          <w:sz w:val="24"/>
        </w:rPr>
        <w:t xml:space="preserve">•  </w:t>
      </w:r>
      <w:r>
        <w:rPr>
          <w:rFonts w:ascii="Times New Roman" w:hAnsi="Times New Roman"/>
          <w:b/>
          <w:i w:val="0"/>
          <w:sz w:val="24"/>
        </w:rPr>
        <w:t>High-need participant population:</w:t>
      </w:r>
      <w:r>
        <w:rPr>
          <w:rFonts w:ascii="Times New Roman" w:hAnsi="Times New Roman"/>
          <w:b w:val="0"/>
          <w:i w:val="0"/>
          <w:sz w:val="24"/>
        </w:rPr>
        <w:t xml:space="preserve"> Individuals who maxed out often have the longest incarceration histories and most complex needs. TRI mitigates this through intensive case management ratios, crisis protocols, and licensed counseling integrated from day one.</w:t>
      </w:r>
    </w:p>
    <w:p>
      <w:pPr>
        <w:spacing w:before="80" w:after="20" w:line="360" w:lineRule="auto"/>
        <w:ind w:firstLine="0"/>
      </w:pPr>
      <w:r>
        <w:rPr>
          <w:rFonts w:ascii="Times New Roman" w:hAnsi="Times New Roman"/>
          <w:b/>
          <w:i w:val="0"/>
          <w:sz w:val="24"/>
        </w:rPr>
        <w:t>I. Data Management and Collection Methodology</w:t>
      </w:r>
    </w:p>
    <w:p>
      <w:pPr>
        <w:spacing w:before="0" w:after="80" w:line="360" w:lineRule="auto"/>
        <w:ind w:firstLine="720"/>
      </w:pPr>
      <w:r>
        <w:rPr>
          <w:rFonts w:ascii="Times New Roman" w:hAnsi="Times New Roman"/>
          <w:b w:val="0"/>
          <w:i w:val="0"/>
          <w:sz w:val="24"/>
        </w:rPr>
        <w:t>TRI uses a dual-track data management system. All staff log participant contacts in Monday.com within 24 hours; simultaneously, a physical NJLEAD Contact Sheet is completed for each contact and retained in the participant’s file. Rebecca Mohr, LSW, verifies weekly that all contacts are recorded in both systems. Data tracked per participant includes: intake date, referral source, and demographics; housing placement date, provider, and type; all service contacts; monthly employment and education status updates; arrest record verification; and program exit date, status, and post-exit housing placement.</w:t>
      </w:r>
    </w:p>
    <w:p>
      <w:pPr>
        <w:spacing w:before="160" w:after="60" w:line="360" w:lineRule="auto"/>
        <w:ind w:firstLine="0"/>
      </w:pPr>
      <w:r>
        <w:rPr>
          <w:rFonts w:ascii="Times New Roman" w:hAnsi="Times New Roman"/>
          <w:b/>
          <w:i w:val="0"/>
          <w:sz w:val="24"/>
        </w:rPr>
        <w:t>Section III: Reporting</w:t>
      </w:r>
    </w:p>
    <w:p>
      <w:pPr>
        <w:spacing w:before="80" w:after="20" w:line="360" w:lineRule="auto"/>
        <w:ind w:firstLine="0"/>
      </w:pPr>
      <w:r>
        <w:rPr>
          <w:rFonts w:ascii="Times New Roman" w:hAnsi="Times New Roman"/>
          <w:b/>
          <w:i w:val="0"/>
          <w:sz w:val="24"/>
        </w:rPr>
        <w:t>A. Programmatic Management</w:t>
      </w:r>
    </w:p>
    <w:p>
      <w:pPr>
        <w:spacing w:before="0" w:after="80" w:line="360" w:lineRule="auto"/>
        <w:ind w:firstLine="720"/>
      </w:pPr>
      <w:r>
        <w:rPr>
          <w:rFonts w:ascii="Times New Roman" w:hAnsi="Times New Roman"/>
          <w:b w:val="0"/>
          <w:i w:val="0"/>
          <w:sz w:val="24"/>
        </w:rPr>
        <w:t>Team Resurrection Inc. has contracted Rebecca Mohr, LSW, as Nonprofit &amp; Grants Consultant responsible for monthly programmatic reporting and quarterly fiscal reports. Each participant contact triggers completion of an NJLEAD Contact Sheet, reported to Rebecca on a rolling basis. In accordance with NJDOC requirements, programmatic reports—including Partner Service Data Spreadsheets and scanned Contact Sheets—are submitted monthly via email; quarterly reports are submitted via GrantVantage. All NJLEAD staff attend NJDOC monthly meetings and reentry events at facilities and RCRPs as required.</w:t>
      </w:r>
    </w:p>
    <w:p>
      <w:pPr>
        <w:spacing w:before="80" w:after="20" w:line="360" w:lineRule="auto"/>
        <w:ind w:firstLine="0"/>
      </w:pPr>
      <w:r>
        <w:rPr>
          <w:rFonts w:ascii="Times New Roman" w:hAnsi="Times New Roman"/>
          <w:b/>
          <w:i w:val="0"/>
          <w:sz w:val="24"/>
        </w:rPr>
        <w:t>B. Fiscal Management</w:t>
      </w:r>
    </w:p>
    <w:p>
      <w:pPr>
        <w:spacing w:before="0" w:after="80" w:line="360" w:lineRule="auto"/>
        <w:ind w:firstLine="720"/>
      </w:pPr>
      <w:r>
        <w:rPr>
          <w:rFonts w:ascii="Times New Roman" w:hAnsi="Times New Roman"/>
          <w:b w:val="0"/>
          <w:i w:val="0"/>
          <w:sz w:val="24"/>
        </w:rPr>
        <w:t xml:space="preserve">Each NJLEAD-eligible expense is reported to Rebecca Mohr, who reviews all expenditures against approved budget line items. TRI maintains accounts using QuickBooks with transaction-level documentation. All expenditures are supported by receipts, invoices, and contractor agreements. Financial statements are prepared by independent accountants, Jitasa. Rebecca Mohr’s resume documenting her qualifications is included in supporting documents. TRI’s </w:t>
      </w:r>
      <w:r>
        <w:rPr>
          <w:rFonts w:ascii="Times New Roman" w:hAnsi="Times New Roman"/>
          <w:b/>
          <w:i w:val="0"/>
          <w:sz w:val="24"/>
        </w:rPr>
        <w:t>100% on-time reporting record across all active grants</w:t>
      </w:r>
      <w:r>
        <w:rPr>
          <w:rFonts w:ascii="Times New Roman" w:hAnsi="Times New Roman"/>
          <w:b w:val="0"/>
          <w:i w:val="0"/>
          <w:sz w:val="24"/>
        </w:rPr>
        <w:t>—federal, state, and local—is the baseline expectation our team brings to every funding relationship. TRI will cooperate fully with any financial or compliance audits.</w:t>
      </w:r>
    </w:p>
    <w:p>
      <w:pPr>
        <w:spacing w:before="160" w:after="160" w:line="360" w:lineRule="auto"/>
        <w:ind w:firstLine="0"/>
      </w:pPr>
      <w:r>
        <w:rPr>
          <w:rFonts w:ascii="Times New Roman" w:hAnsi="Times New Roman"/>
          <w:b/>
          <w:i w:val="0"/>
          <w:sz w:val="24"/>
        </w:rPr>
        <w:t>Section IV: Budget Narrative</w:t>
      </w:r>
      <w:r>
        <w:rPr>
          <w:rFonts w:ascii="Times New Roman" w:hAnsi="Times New Roman"/>
          <w:b w:val="0"/>
          <w:i w:val="0"/>
          <w:sz w:val="24"/>
        </w:rPr>
        <w:t>—The complete budget narrative and official NJDOC budget worksheet (.xlsx) are attached as separate documents.</w:t>
      </w:r>
    </w:p>
    <w:p>
      <w:pPr>
        <w:spacing w:before="200" w:after="120" w:line="360" w:lineRule="auto"/>
        <w:ind w:firstLine="0"/>
        <w:pBdr>
          <w:top w:val="single" w:sz="6" w:space="4" w:color="000000"/>
        </w:pBdr>
      </w:pPr>
      <w:r>
        <w:rPr>
          <w:rFonts w:ascii="Times New Roman" w:hAnsi="Times New Roman"/>
          <w:b w:val="0"/>
          <w:i w:val="0"/>
          <w:sz w:val="24"/>
        </w:rPr>
        <w:t>I certify that the information contained in this application is accurate and complete, that the proposed program will be operated in accordance with applicable NJDOC requirements, and that Team Resurrection Inc. has the organizational capacity to implement this program as described.</w:t>
      </w:r>
    </w:p>
    <w:p>
      <w:pPr>
        <w:spacing w:before="280" w:after="80" w:line="360" w:lineRule="auto"/>
        <w:ind w:firstLine="0"/>
      </w:pPr>
      <w:r>
        <w:rPr>
          <w:rFonts w:ascii="Times New Roman" w:hAnsi="Times New Roman"/>
          <w:b w:val="0"/>
          <w:i w:val="0"/>
          <w:sz w:val="24"/>
        </w:rPr>
        <w:t>_____________________________________________          ____________________</w:t>
      </w:r>
    </w:p>
    <w:p>
      <w:pPr>
        <w:spacing w:before="0" w:after="120" w:line="360" w:lineRule="auto"/>
        <w:ind w:firstLine="0"/>
      </w:pPr>
      <w:r>
        <w:rPr>
          <w:rFonts w:ascii="Times New Roman" w:hAnsi="Times New Roman"/>
          <w:b w:val="0"/>
          <w:i w:val="0"/>
          <w:sz w:val="24"/>
        </w:rPr>
        <w:t>Mary “Malika” McCall, Executive Director                    Date</w:t>
      </w:r>
    </w:p>
    <w:p>
      <w:pPr>
        <w:spacing w:before="0" w:after="40" w:line="360" w:lineRule="auto"/>
        <w:ind w:firstLine="0"/>
      </w:pPr>
      <w:r>
        <w:rPr>
          <w:rFonts w:ascii="Times New Roman" w:hAnsi="Times New Roman"/>
          <w:b w:val="0"/>
          <w:i w:val="0"/>
          <w:sz w:val="24"/>
        </w:rPr>
        <w:t>Team Resurrection Inc.  |  172 16th Ave, Newark, NJ 07103  |  (973) 991-3594  |  tryresurrection@aol.com</w:t>
      </w:r>
    </w:p>
    <w:p>
      <w:pPr>
        <w:spacing w:before="0" w:after="0" w:line="360" w:lineRule="auto"/>
        <w:ind w:firstLine="0"/>
      </w:pPr>
      <w:r>
        <w:rPr>
          <w:rFonts w:ascii="Times New Roman" w:hAnsi="Times New Roman"/>
          <w:b w:val="0"/>
          <w:i w:val="0"/>
          <w:sz w:val="24"/>
        </w:rPr>
        <w:t>EIN: 20-8965784  |  UEI: WGHLGCP9E2S5  |  www.teamresurrectioninc.org</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rPr>
        <w:rFonts w:ascii="Times New Roman" w:hAnsi="Times New Roman"/>
        <w:sz w:val="20"/>
      </w:rPr>
      <w:fldChar w:fldCharType="begin"/>
      <w:instrText xml:space="preserve">PAGE</w:instrText>
      <w:fldChar w:fldCharType="separate"/>
      <w:fldChar w:fldCharType="end"/>
    </w:r>
    <w:r>
      <w:rPr>
        <w:rFonts w:ascii="Times New Roman" w:hAnsi="Times New Roman"/>
        <w:sz w:val="20"/>
      </w:rPr>
      <w:t xml:space="preserve"> of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