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
      <w:r>
        <w:t>Team Resurrection Inc.</w:t>
      </w:r>
      <w:r/>
      <w:r>
        <w:t>172 16th Ave, Newark, NJ 07103 | P.O. Box 3489, Newark, NJ 07108</w:t>
        <w:br/>
      </w:r>
      <w:r>
        <w:t>Phone: (973) 991-3594 | Email: tryresurrection@aol.com</w:t>
        <w:br/>
      </w:r>
      <w:r>
        <w:t>EIN: 20-8965784 | UEI: WGHLGCP9E2S5</w:t>
      </w:r>
      <w:r/>
      <w:r/>
    </w:p>
    <w:p>
      <w:pPr>
        <w:pStyle w:val="Heading1"/>
      </w:pPr>
      <w:r>
        <w:t>NJLEAD FY26 Category B — Budget Narrative</w:t>
      </w:r>
      <w:r/>
      <w:r/>
      <w:r>
        <w:rPr>
          <w:b/>
        </w:rPr>
        <w:t>Grant Period:</w:t>
      </w:r>
      <w:r>
        <w:t xml:space="preserve"> July 1, 2026 – June 30, 2027</w:t>
        <w:br/>
      </w:r>
      <w:r/>
      <w:r>
        <w:rPr>
          <w:b/>
        </w:rPr>
        <w:t>Amount Requested:</w:t>
      </w:r>
      <w:r>
        <w:t xml:space="preserve"> $340,000</w:t>
        <w:br/>
      </w:r>
      <w:r/>
      <w:r>
        <w:rPr>
          <w:b/>
        </w:rPr>
        <w:t>Executive Director:</w:t>
      </w:r>
      <w:r>
        <w:t xml:space="preserve"> Mary “Malika” McCall</w:t>
      </w:r>
      <w:r/>
    </w:p>
    <w:p>
      <w:pPr>
        <w:pStyle w:val="Heading2"/>
      </w:pPr>
      <w:r>
        <w:t>FY25 vs. FY26 Budget Comparison</w:t>
      </w:r>
      <w:r/>
    </w:p>
    <w:tbl>
      <w:tblPr>
        <w:tblW w:type="auto" w:w="0"/>
        <w:tblLook w:firstColumn="1" w:firstRow="1" w:lastColumn="0" w:lastRow="0" w:noHBand="0" w:noVBand="1" w:val="04A0"/>
      </w:tblPr>
      <w:tblGrid>
        <w:gridCol w:w="2340"/>
        <w:gridCol w:w="2340"/>
        <w:gridCol w:w="2340"/>
        <w:gridCol w:w="2340"/>
      </w:tblGrid>
      <w:tr>
        <w:tc>
          <w:tcPr>
            <w:tcW w:type="dxa" w:w="2340"/>
          </w:tcPr>
          <w:p>
            <w:r>
              <w:rPr>
                <w:b/>
              </w:rPr>
              <w:t>Category</w:t>
            </w:r>
          </w:p>
        </w:tc>
        <w:tc>
          <w:tcPr>
            <w:tcW w:type="dxa" w:w="2340"/>
          </w:tcPr>
          <w:p>
            <w:r>
              <w:rPr>
                <w:b/>
              </w:rPr>
              <w:t>FY25 Award</w:t>
            </w:r>
          </w:p>
        </w:tc>
        <w:tc>
          <w:tcPr>
            <w:tcW w:type="dxa" w:w="2340"/>
          </w:tcPr>
          <w:p>
            <w:r>
              <w:rPr>
                <w:b/>
              </w:rPr>
              <w:t>FY26 Request</w:t>
            </w:r>
          </w:p>
        </w:tc>
        <w:tc>
          <w:tcPr>
            <w:tcW w:type="dxa" w:w="2340"/>
          </w:tcPr>
          <w:p>
            <w:r>
              <w:rPr>
                <w:b/>
              </w:rPr>
              <w:t>Key Change</w:t>
            </w:r>
          </w:p>
        </w:tc>
      </w:tr>
      <w:tr>
        <w:tc>
          <w:tcPr>
            <w:tcW w:type="dxa" w:w="2340"/>
          </w:tcPr>
          <w:p>
            <w:r>
              <w:t>A. Personnel</w:t>
            </w:r>
          </w:p>
        </w:tc>
        <w:tc>
          <w:tcPr>
            <w:tcW w:type="dxa" w:w="2340"/>
          </w:tcPr>
          <w:p>
            <w:r>
              <w:t>$60,000</w:t>
            </w:r>
          </w:p>
        </w:tc>
        <w:tc>
          <w:tcPr>
            <w:tcW w:type="dxa" w:w="2340"/>
          </w:tcPr>
          <w:p>
            <w:r>
              <w:t>$100,000</w:t>
            </w:r>
          </w:p>
        </w:tc>
        <w:tc>
          <w:tcPr>
            <w:tcW w:type="dxa" w:w="2340"/>
          </w:tcPr>
          <w:p>
            <w:r>
              <w:t>Market-rate 1099 FT + PT model; added third position</w:t>
            </w:r>
          </w:p>
        </w:tc>
      </w:tr>
      <w:tr>
        <w:tc>
          <w:tcPr>
            <w:tcW w:type="dxa" w:w="2340"/>
          </w:tcPr>
          <w:p>
            <w:r>
              <w:t>C. Implementation</w:t>
            </w:r>
          </w:p>
        </w:tc>
        <w:tc>
          <w:tcPr>
            <w:tcW w:type="dxa" w:w="2340"/>
          </w:tcPr>
          <w:p>
            <w:r>
              <w:t>$16,000</w:t>
            </w:r>
          </w:p>
        </w:tc>
        <w:tc>
          <w:tcPr>
            <w:tcW w:type="dxa" w:w="2340"/>
          </w:tcPr>
          <w:p>
            <w:r>
              <w:t>$21,500</w:t>
            </w:r>
          </w:p>
        </w:tc>
        <w:tc>
          <w:tcPr>
            <w:tcW w:type="dxa" w:w="2340"/>
          </w:tcPr>
          <w:p>
            <w:r>
              <w:t>Added tech infrastructure (phones, laptops, printer)</w:t>
            </w:r>
          </w:p>
        </w:tc>
      </w:tr>
      <w:tr>
        <w:tc>
          <w:tcPr>
            <w:tcW w:type="dxa" w:w="2340"/>
          </w:tcPr>
          <w:p>
            <w:r>
              <w:t>D. Services Gap</w:t>
            </w:r>
          </w:p>
        </w:tc>
        <w:tc>
          <w:tcPr>
            <w:tcW w:type="dxa" w:w="2340"/>
          </w:tcPr>
          <w:p>
            <w:r>
              <w:t>$76,000</w:t>
            </w:r>
          </w:p>
        </w:tc>
        <w:tc>
          <w:tcPr>
            <w:tcW w:type="dxa" w:w="2340"/>
          </w:tcPr>
          <w:p>
            <w:r>
              <w:t>$174,667</w:t>
            </w:r>
          </w:p>
        </w:tc>
        <w:tc>
          <w:tcPr>
            <w:tcW w:type="dxa" w:w="2340"/>
          </w:tcPr>
          <w:p>
            <w:r>
              <w:t>2-tier housing model; food security dropped (USDA covers); added peer support</w:t>
            </w:r>
          </w:p>
        </w:tc>
      </w:tr>
      <w:tr>
        <w:tc>
          <w:tcPr>
            <w:tcW w:type="dxa" w:w="2340"/>
          </w:tcPr>
          <w:p>
            <w:r>
              <w:t>E. Indirect</w:t>
            </w:r>
          </w:p>
        </w:tc>
        <w:tc>
          <w:tcPr>
            <w:tcW w:type="dxa" w:w="2340"/>
          </w:tcPr>
          <w:p>
            <w:r>
              <w:t>$8,000 (5%)</w:t>
            </w:r>
          </w:p>
        </w:tc>
        <w:tc>
          <w:tcPr>
            <w:tcW w:type="dxa" w:w="2340"/>
          </w:tcPr>
          <w:p>
            <w:r>
              <w:t>$43,833 (14.8%)</w:t>
            </w:r>
          </w:p>
        </w:tc>
        <w:tc>
          <w:tcPr>
            <w:tcW w:type="dxa" w:w="2340"/>
          </w:tcPr>
          <w:p>
            <w:r>
              <w:t>Reflects actual admin costs: fiscal agent, GrantVantage, QuickBooks, Monday.com</w:t>
            </w:r>
          </w:p>
        </w:tc>
      </w:tr>
      <w:tr>
        <w:tc>
          <w:tcPr>
            <w:tcW w:type="dxa" w:w="2340"/>
          </w:tcPr>
          <w:p>
            <w:r>
              <w:rPr>
                <w:b/>
              </w:rPr>
              <w:t>TOTAL</w:t>
            </w:r>
          </w:p>
        </w:tc>
        <w:tc>
          <w:tcPr>
            <w:tcW w:type="dxa" w:w="2340"/>
          </w:tcPr>
          <w:p>
            <w:r>
              <w:rPr>
                <w:b/>
              </w:rPr>
              <w:t>$160,000</w:t>
            </w:r>
          </w:p>
        </w:tc>
        <w:tc>
          <w:tcPr>
            <w:tcW w:type="dxa" w:w="2340"/>
          </w:tcPr>
          <w:p>
            <w:r>
              <w:rPr>
                <w:b/>
              </w:rPr>
              <w:t>$340,000</w:t>
            </w:r>
          </w:p>
        </w:tc>
        <w:tc>
          <w:tcPr>
            <w:tcW w:type="dxa" w:w="2340"/>
          </w:tcPr>
          <w:p>
            <w:r>
              <w:rPr>
                <w:b/>
              </w:rPr>
              <w:t>2.1× increase justified by housing market rates and participant depth</w:t>
            </w:r>
          </w:p>
        </w:tc>
      </w:tr>
    </w:tbl>
    <w:p>
      <w:r/>
      <w:r/>
      <w:r>
        <w:rPr>
          <w:b/>
        </w:rPr>
        <w:t>Note:</w:t>
      </w:r>
      <w:r>
        <w:t xml:space="preserve"> FY25 included $16,000 for food security. For FY26, USDA partner referrals cover this need, redirecting funds to expanded housing and peer mentoring.</w:t>
      </w:r>
      <w:r/>
    </w:p>
    <w:p>
      <w:pPr>
        <w:pStyle w:val="Heading2"/>
      </w:pPr>
      <w:r>
        <w:t>A. Personnel — $100,000</w:t>
      </w:r>
      <w:r/>
    </w:p>
    <w:p>
      <w:pPr>
        <w:pStyle w:val="Heading3"/>
      </w:pPr>
      <w:r>
        <w:t>Reentry Services Case Manager / Program Director (Full-Time, 1099 Independent Contractor) — $55,000</w:t>
      </w:r>
      <w:r/>
    </w:p>
    <w:p>
      <w:r/>
      <w:r>
        <w:t>The full-time Reentry Case Manager / Program Director is the primary point of contact for all enrolled NJLEAD participants, managing a caseload of 8–12 individuals simultaneously. Responsibilities include: participant intake and individualized assessment; development and ongoing review of individualized service plans; a minimum of two structured contacts per week with each participant; housing placement identification, coordination, and monitoring; employment and employer outreach; attendance at all NJDOC monthly meetings and reentry events at facilities and RCRPs; contemporaneous documentation of all participant contacts in Monday.com and on official NJLEAD Contact Sheets within 24 hours; and monthly programmatic report preparation. The $55,000 annual rate is commensurate with experienced reentry case management professionals in the Newark market and reflects 100% allocation to the NJLEAD initiative.</w:t>
      </w:r>
      <w:r/>
    </w:p>
    <w:p>
      <w:pPr>
        <w:pStyle w:val="Heading3"/>
      </w:pPr>
      <w:r>
        <w:t>Reentry Support Specialist (Part-Time, 1099 Independent Contractor, 20 hrs/wk) — $25,000</w:t>
      </w:r>
      <w:r/>
    </w:p>
    <w:p>
      <w:r/>
      <w:r>
        <w:t>The part-time Reentry Support Specialist provides supplemental case management coverage, conducts participant intake screenings, assists with housing placement coordination, accompanies participants to appointments and service access, and supports the full-time Case Manager during high-demand periods. The $25,000 rate reflects approximately 20 hours per week of direct service engagement, at a rate commensurate with experience and consistent with part-time case management personnel in the Newark area. Per NJDOC guidance, part-time staff working 100% on NJLEAD do not receive fringe benefits.</w:t>
      </w:r>
      <w:r/>
    </w:p>
    <w:p>
      <w:pPr>
        <w:pStyle w:val="Heading3"/>
      </w:pPr>
      <w:r>
        <w:t>Part-Time Case Management Consultant (1099 Independent Contractor) — $20,000</w:t>
      </w:r>
      <w:r/>
    </w:p>
    <w:p>
      <w:r/>
      <w:r>
        <w:t>The Part-Time Case Management Consultant provides specialized expertise in reentry planning, trauma-informed care frameworks, and complex case coordination. This position supports the Program Director on high-complexity participant situations, contributes to staff development and best-practice implementation, and ensures program fidelity during periods of high caseload volume. The $20,000 rate reflects a targeted consultant engagement of approximately 15–18 hours per week.</w:t>
      </w:r>
      <w:r/>
    </w:p>
    <w:p>
      <w:pPr>
        <w:pStyle w:val="Heading3"/>
      </w:pPr>
      <w:r>
        <w:t>Note on Independent Contractor Staffing Model</w:t>
      </w:r>
      <w:r/>
    </w:p>
    <w:p>
      <w:r/>
      <w:r>
        <w:t xml:space="preserve">Team Resurrection Inc. engages all reentry support personnel as independent contractors under written service agreements (IRS Form 1099-NEC). This model is a deliberate organizational choice reflecting TRI’s operational philosophy: </w:t>
      </w:r>
      <w:r>
        <w:rPr>
          <w:b/>
        </w:rPr>
        <w:t>every dollar of personnel cost flows directly to service delivery</w:t>
      </w:r>
      <w:r>
        <w:t>, with zero overhead absorbed by fringe benefits.</w:t>
      </w:r>
      <w:r/>
    </w:p>
    <w:p>
      <w:r/>
      <w:r>
        <w:t xml:space="preserve">All contractors operate under comprehensive written agreements requiring full compliance with NJDOC documentation standards, mandatory attendance at monthly NJDOC meetings and reentry events, direct supervisor accountability to the Director of Re-Entry Services, and 100% time dedication to NJLEAD program activities. The result: </w:t>
      </w:r>
      <w:r>
        <w:rPr>
          <w:b/>
        </w:rPr>
        <w:t>100% of the $100,000 personnel allocation represents direct service delivery capacity</w:t>
      </w:r>
      <w:r>
        <w:t>, and more than 50% of TRI’s total FY26 budget goes to direct participant-facing services.</w:t>
      </w:r>
      <w:r/>
    </w:p>
    <w:p>
      <w:pPr>
        <w:pBdr>
          <w:bottom w:val="single" w:sz="6" w:space="1" w:color="auto"/>
        </w:pBdr>
      </w:pPr>
      <w:r/>
    </w:p>
    <w:p>
      <w:pPr>
        <w:pStyle w:val="Heading2"/>
      </w:pPr>
      <w:r>
        <w:t>B. Fringe Benefits — $0</w:t>
      </w:r>
      <w:r/>
    </w:p>
    <w:p>
      <w:r/>
      <w:r>
        <w:t>No fringe benefits are budgeted. All personnel engaged under this award are independent contractors (1099). Per NJDOC regulations, fringe benefits apply only to full-time W-2 employees. The savings from the 1099 model are redirected entirely to the Housing Assistance and Fresh Start lines, which together represent the core of TRI’s housing-first program design.</w:t>
      </w:r>
      <w:r/>
    </w:p>
    <w:p>
      <w:pPr>
        <w:pBdr>
          <w:bottom w:val="single" w:sz="6" w:space="1" w:color="auto"/>
        </w:pBdr>
      </w:pPr>
      <w:r/>
    </w:p>
    <w:p>
      <w:pPr>
        <w:pStyle w:val="Heading2"/>
      </w:pPr>
      <w:r>
        <w:t>C. Program Implementation Costs — $21,500</w:t>
      </w:r>
      <w:r/>
    </w:p>
    <w:p>
      <w:pPr>
        <w:pStyle w:val="Heading3"/>
      </w:pPr>
      <w:r>
        <w:t>Office Space &amp; Communications — $500</w:t>
      </w:r>
      <w:r/>
    </w:p>
    <w:p>
      <w:r/>
      <w:r>
        <w:t>Monthly communications costs including dedicated program phone line, internet service allocation, and shared office space utilities supporting program administration and participant-facing activities.</w:t>
      </w:r>
      <w:r/>
    </w:p>
    <w:p>
      <w:pPr>
        <w:pStyle w:val="Heading3"/>
      </w:pPr>
      <w:r>
        <w:t>Local Travel &amp; Transportation (Staff) — $6,000</w:t>
      </w:r>
      <w:r/>
    </w:p>
    <w:p>
      <w:r/>
      <w:r>
        <w:t>Mileage reimbursement and transit costs for case management staff conducting field visits, accompanying participants to appointments, attending NJDOC facility meetings, and conducting landlord and employer site visits across the Newark metro area.</w:t>
      </w:r>
      <w:r/>
    </w:p>
    <w:p>
      <w:pPr>
        <w:pStyle w:val="Heading3"/>
      </w:pPr>
      <w:r>
        <w:t>Supplies &amp; Materials — $500</w:t>
      </w:r>
      <w:r/>
    </w:p>
    <w:p>
      <w:r/>
      <w:r>
        <w:t>Program consumables including participant folders, printed forms, and office supplies supporting daily program operations and participant documentation.</w:t>
      </w:r>
      <w:r/>
    </w:p>
    <w:p>
      <w:pPr>
        <w:pStyle w:val="Heading3"/>
      </w:pPr>
      <w:r>
        <w:t>Technical Assistance — $9,000</w:t>
      </w:r>
      <w:r/>
    </w:p>
    <w:p>
      <w:r/>
      <w:r>
        <w:t>GrantVantage reporting platform subscription, Monday.com project management platform, QuickBooks accounting software, and contracted technical support for data management and compliance reporting.</w:t>
      </w:r>
      <w:r/>
    </w:p>
    <w:p>
      <w:pPr>
        <w:pStyle w:val="Heading3"/>
      </w:pPr>
      <w:r>
        <w:t>Mobile Phones (2) — $1,200</w:t>
      </w:r>
      <w:r/>
    </w:p>
    <w:p>
      <w:r/>
      <w:r>
        <w:t>Two smartphones (one per case manager) enabling field-based participant contact, crisis accessibility beyond scheduled office hours, and mobile completion of Monday.com documentation. Includes annual service plans.</w:t>
      </w:r>
      <w:r/>
    </w:p>
    <w:p>
      <w:pPr>
        <w:pStyle w:val="Heading3"/>
      </w:pPr>
      <w:r>
        <w:t>Laptops with Virtual Communication Software (2) — $3,500</w:t>
      </w:r>
      <w:r/>
    </w:p>
    <w:p>
      <w:r/>
      <w:r>
        <w:t>Two laptop computers for case managers to access Monday.com, complete NJLEAD contact documentation, participate in NJDOC virtual meetings and training, and prepare monthly and quarterly reports. Includes case management software access and virtual meeting platform subscriptions.</w:t>
      </w:r>
      <w:r/>
    </w:p>
    <w:p>
      <w:pPr>
        <w:pStyle w:val="Heading3"/>
      </w:pPr>
      <w:r>
        <w:t>All-in-One Printer/Scanner/Copier/Fax Machine (1) — $800</w:t>
      </w:r>
      <w:r/>
    </w:p>
    <w:p>
      <w:r/>
      <w:r>
        <w:t>For printing participant documents, scanning completed NJLEAD Contact Sheets for monthly email submission to NJDOC, and maintaining required physical participant files.</w:t>
      </w:r>
      <w:r/>
    </w:p>
    <w:p>
      <w:pPr>
        <w:pBdr>
          <w:bottom w:val="single" w:sz="6" w:space="1" w:color="auto"/>
        </w:pBdr>
      </w:pPr>
      <w:r/>
    </w:p>
    <w:p>
      <w:pPr>
        <w:pStyle w:val="Heading2"/>
      </w:pPr>
      <w:r>
        <w:t>D. Services Gap Funding — $174,667</w:t>
      </w:r>
      <w:r/>
    </w:p>
    <w:p>
      <w:pPr>
        <w:pStyle w:val="Heading3"/>
      </w:pPr>
      <w:r>
        <w:t>D1. Counseling Services — $14,400</w:t>
      </w:r>
      <w:r/>
    </w:p>
    <w:p>
      <w:r/>
      <w:r>
        <w:t xml:space="preserve">Licensed trauma-informed counseling contracted with a vetted clinical provider in Newark. Services include individual counseling sessions and facilitated group sessions addressing trauma, substance use, mental health maintenance, and the psychological dimensions of reintegration. Per NJDOC Q&amp;A guidance, counseling services may be outsourced to licensed providers. Budget: 12 participants × 6 sessions × $200 per session = </w:t>
      </w:r>
      <w:r>
        <w:rPr>
          <w:b/>
        </w:rPr>
        <w:t>$14,400</w:t>
      </w:r>
      <w:r>
        <w:t>.</w:t>
      </w:r>
      <w:r/>
    </w:p>
    <w:p>
      <w:pPr>
        <w:pStyle w:val="Heading3"/>
      </w:pPr>
      <w:r>
        <w:t>D2. Education Support — $7,500</w:t>
      </w:r>
      <w:r/>
    </w:p>
    <w:p>
      <w:r/>
      <w:r>
        <w:t>GED examination registration fees and study materials; community college enrollment application fees and initial tuition assistance; online learning platform subscriptions; and costs for professional certifications that expand employment eligibility. Serves participants who lack a high school credential or post-secondary credential as a foundation for stable employment.</w:t>
      </w:r>
      <w:r/>
    </w:p>
    <w:p>
      <w:pPr>
        <w:pStyle w:val="Heading3"/>
      </w:pPr>
      <w:r>
        <w:t>D3. Employment Readiness, Training, and Placement Assistance — $12,000</w:t>
      </w:r>
      <w:r/>
    </w:p>
    <w:p>
      <w:r/>
      <w:r>
        <w:t>Job readiness workshops facilitated by the case manager and contracted employment specialists; professional resume development and printing; interview coaching and mock interview sessions; professional attire assistance for interviews and initial employment; fees for occupational skills certifications (OSHA 10, food handler, forklift operator, security guard license) that open employment pathways in Newark’s labor market.</w:t>
      </w:r>
      <w:r/>
    </w:p>
    <w:p>
      <w:pPr>
        <w:pStyle w:val="Heading3"/>
      </w:pPr>
      <w:r>
        <w:t>D4. Family Reunification Assistance — $5,000</w:t>
      </w:r>
      <w:r/>
    </w:p>
    <w:p>
      <w:r/>
      <w:r>
        <w:t>Facilitated family meetings at TRI’s office or a neutral location; professional mediation services for strained family relationships; transportation assistance for participants and family members to attend meetings; costs associated with supervised visitation where minor children are involved. Family reconnection is a documented protective factor for long-term housing stability and recidivism reduction.</w:t>
      </w:r>
      <w:r/>
    </w:p>
    <w:p>
      <w:pPr>
        <w:pStyle w:val="Heading3"/>
      </w:pPr>
      <w:r>
        <w:t>D5. Food Security</w:t>
      </w:r>
      <w:r/>
    </w:p>
    <w:p>
      <w:r/>
      <w:r>
        <w:t>Food security needs are fully addressed through TRI’s USDA partner referral network and existing USDA Summer Food Program partnerships. No grant funds are required for this category. This redirects resources to expanded housing support and peer mentoring.</w:t>
      </w:r>
      <w:r/>
    </w:p>
    <w:p>
      <w:pPr>
        <w:pStyle w:val="Heading3"/>
      </w:pPr>
      <w:r>
        <w:t>D6. Housing Assistance — $108,640 (MANDATORY)</w:t>
      </w:r>
      <w:r/>
    </w:p>
    <w:p>
      <w:r/>
      <w:r>
        <w:t>This line funds the core of TRI’s housing-first program design across two complementary tiers:</w:t>
      </w:r>
      <w:r/>
      <w:r/>
    </w:p>
    <w:p>
      <w:pPr>
        <w:pStyle w:val="ListBullet"/>
        <w:spacing w:line="240" w:lineRule="auto"/>
        <w:ind w:left="720"/>
      </w:pPr>
      <w:r/>
      <w:r>
        <w:rPr>
          <w:i/>
        </w:rPr>
        <w:t>Emergency Housing (Tier 1):</w:t>
      </w:r>
      <w:r>
        <w:t xml:space="preserve"> Immediate temporary shelter at pre-vetted locations at a maximum daily rate of $99 per person, up to 30 days. For participants who exit state prison without immediate housing placement. Budget: 12 participants × $99/night × 30 days = </w:t>
      </w:r>
      <w:r>
        <w:rPr>
          <w:b/>
        </w:rPr>
        <w:t>$35,640</w:t>
      </w:r>
      <w:r>
        <w:t>.</w:t>
      </w:r>
      <w:r/>
    </w:p>
    <w:p>
      <w:pPr>
        <w:pStyle w:val="ListBullet"/>
        <w:spacing w:line="240" w:lineRule="auto"/>
        <w:ind w:left="720"/>
      </w:pPr>
      <w:r/>
      <w:r>
        <w:rPr>
          <w:i/>
        </w:rPr>
        <w:t>Short-Term Transitional Housing (Tier 2):</w:t>
      </w:r>
      <w:r>
        <w:t xml:space="preserve"> 61–180 days of placement at pre-screened transitional housing facilities in Newark. Average cost $1,520 per month per participant, covering room and utilities. Budget: 12 participants × $1,520/month × 4 months = </w:t>
      </w:r>
      <w:r>
        <w:rPr>
          <w:b/>
        </w:rPr>
        <w:t>$73,000</w:t>
      </w:r>
      <w:r>
        <w:t>.</w:t>
      </w:r>
      <w:r/>
      <w:r/>
    </w:p>
    <w:p>
      <w:r/>
      <w:r>
        <w:t>At the core of TRI’s housing-first philosophy, the combined Tier 1 + Tier 2 housing budget reflects the evidence base establishing stable housing as the foundational intervention for sustained reintegration success.</w:t>
      </w:r>
      <w:r/>
    </w:p>
    <w:p>
      <w:pPr>
        <w:pStyle w:val="Heading3"/>
      </w:pPr>
      <w:r>
        <w:t>D7. Transportation — $9,612</w:t>
      </w:r>
      <w:r/>
    </w:p>
    <w:p>
      <w:r/>
      <w:r>
        <w:t xml:space="preserve">Monthly NJ Transit bus passes for all enrolled participants throughout their active program enrollment, enabling access to employment sites, service appointments, NJDOC check-ins, counseling sessions, and educational programs. Budget: 12 participants × $89/month (NJ Transit monthly bus pass) × 9 months active enrollment = </w:t>
      </w:r>
      <w:r>
        <w:rPr>
          <w:b/>
        </w:rPr>
        <w:t>$9,612</w:t>
      </w:r>
      <w:r>
        <w:t>.</w:t>
      </w:r>
      <w:r/>
    </w:p>
    <w:p>
      <w:pPr>
        <w:pStyle w:val="Heading3"/>
      </w:pPr>
      <w:r>
        <w:t>D8. Peer Support &amp; Mentoring — $12,000</w:t>
      </w:r>
      <w:r/>
    </w:p>
    <w:p>
      <w:r/>
      <w:r>
        <w:t>Contracted peer mentors with lived reentry experience provide one-on-one support, accompaniment to court and community appointments, group peer sessions, and motivational support throughout the reentry process. Peer mentoring is an evidence-based complement to professional case management and a documented protective factor against recidivism.</w:t>
      </w:r>
      <w:r/>
    </w:p>
    <w:p>
      <w:pPr>
        <w:pStyle w:val="Heading3"/>
      </w:pPr>
      <w:r>
        <w:t>D9. Fresh Start Reintegration Fund — $5,515</w:t>
      </w:r>
      <w:r/>
    </w:p>
    <w:p>
      <w:r/>
      <w:r>
        <w:t>Security deposits, first month’s rent contributions, and basic household startup items (bedding, cookware, cleaning supplies) to fund the final transition from program housing to independent living for participants completing the program.</w:t>
      </w:r>
      <w:r/>
    </w:p>
    <w:p>
      <w:pPr>
        <w:pBdr>
          <w:bottom w:val="single" w:sz="6" w:space="1" w:color="auto"/>
        </w:pBdr>
      </w:pPr>
      <w:r/>
    </w:p>
    <w:p>
      <w:pPr>
        <w:pStyle w:val="Heading2"/>
      </w:pPr>
      <w:r>
        <w:t>E. Indirect Costs — $43,833 (14.8% of Total Direct Costs)</w:t>
      </w:r>
      <w:r/>
    </w:p>
    <w:p>
      <w:r/>
      <w:r>
        <w:t>Indirect costs are calculated at 14.8% of total direct costs ($296,167 × 0.148 = $43,833), which does not exceed the maximum 15% allowed under NJDOC guidelines. Indirect costs cover:</w:t>
      </w:r>
      <w:r/>
      <w:r/>
    </w:p>
    <w:p>
      <w:pPr>
        <w:pStyle w:val="ListBullet"/>
        <w:spacing w:line="240" w:lineRule="auto"/>
        <w:ind w:left="720"/>
      </w:pPr>
      <w:r/>
      <w:r>
        <w:t>Executive Director (Mary “Malika” McCall) administrative time for grant oversight, organizational compliance, and cross-program coordination: approximately 5% of indirect</w:t>
      </w:r>
      <w:r/>
    </w:p>
    <w:p>
      <w:pPr>
        <w:pStyle w:val="ListBullet"/>
        <w:spacing w:line="240" w:lineRule="auto"/>
        <w:ind w:left="720"/>
      </w:pPr>
      <w:r/>
      <w:r>
        <w:t>Program and Grants Manager (Rebecca Mohr, LSW) overhead for GrantVantage reporting system management, Monday.com platform administration, and fiscal documentation coordination: approximately 5% of indirect</w:t>
      </w:r>
      <w:r/>
    </w:p>
    <w:p>
      <w:pPr>
        <w:pStyle w:val="ListBullet"/>
        <w:spacing w:line="240" w:lineRule="auto"/>
        <w:ind w:left="720"/>
      </w:pPr>
      <w:r/>
      <w:r>
        <w:t>Organizational overhead: office supplies, postage, business communications, GrantVantage subscription, Monday.com subscription, QuickBooks accounting software license: approximately 5% of indirect</w:t>
      </w:r>
      <w:r/>
      <w:r/>
    </w:p>
    <w:p>
      <w:pPr>
        <w:pBdr>
          <w:bottom w:val="single" w:sz="6" w:space="1" w:color="auto"/>
        </w:pBdr>
      </w:pPr>
      <w:r/>
    </w:p>
    <w:p>
      <w:pPr>
        <w:pStyle w:val="Heading2"/>
      </w:pPr>
      <w:r>
        <w:t>Budget Summary</w:t>
      </w:r>
      <w:r/>
    </w:p>
    <w:tbl>
      <w:tblPr>
        <w:tblW w:type="auto" w:w="0"/>
        <w:tblLook w:firstColumn="1" w:firstRow="1" w:lastColumn="0" w:lastRow="0" w:noHBand="0" w:noVBand="1" w:val="04A0"/>
      </w:tblPr>
      <w:tblGrid>
        <w:gridCol w:w="4680"/>
        <w:gridCol w:w="4680"/>
      </w:tblGrid>
      <w:tr>
        <w:tc>
          <w:tcPr>
            <w:tcW w:type="dxa" w:w="4680"/>
          </w:tcPr>
          <w:p>
            <w:r>
              <w:rPr>
                <w:b/>
              </w:rPr>
              <w:t>Category</w:t>
            </w:r>
          </w:p>
        </w:tc>
        <w:tc>
          <w:tcPr>
            <w:tcW w:type="dxa" w:w="4680"/>
          </w:tcPr>
          <w:p>
            <w:r>
              <w:rPr>
                <w:b/>
              </w:rPr>
              <w:t>Amount</w:t>
            </w:r>
          </w:p>
        </w:tc>
      </w:tr>
      <w:tr>
        <w:tc>
          <w:tcPr>
            <w:tcW w:type="dxa" w:w="4680"/>
          </w:tcPr>
          <w:p>
            <w:r>
              <w:t>A. Personnel (3 positions, 1099 contractors)</w:t>
            </w:r>
          </w:p>
        </w:tc>
        <w:tc>
          <w:tcPr>
            <w:tcW w:type="dxa" w:w="4680"/>
          </w:tcPr>
          <w:p>
            <w:r>
              <w:t>$100,000</w:t>
            </w:r>
          </w:p>
        </w:tc>
      </w:tr>
      <w:tr>
        <w:tc>
          <w:tcPr>
            <w:tcW w:type="dxa" w:w="4680"/>
          </w:tcPr>
          <w:p>
            <w:r>
              <w:t>B. Fringe Benefits (1099 model — no fringe)</w:t>
            </w:r>
          </w:p>
        </w:tc>
        <w:tc>
          <w:tcPr>
            <w:tcW w:type="dxa" w:w="4680"/>
          </w:tcPr>
          <w:p>
            <w:r>
              <w:t>$0</w:t>
            </w:r>
          </w:p>
        </w:tc>
      </w:tr>
      <w:tr>
        <w:tc>
          <w:tcPr>
            <w:tcW w:type="dxa" w:w="4680"/>
          </w:tcPr>
          <w:p>
            <w:r>
              <w:t>C. Program Implementation (office, travel, supplies, tech, phones, laptops, printer)</w:t>
            </w:r>
          </w:p>
        </w:tc>
        <w:tc>
          <w:tcPr>
            <w:tcW w:type="dxa" w:w="4680"/>
          </w:tcPr>
          <w:p>
            <w:r>
              <w:t>$21,500</w:t>
            </w:r>
          </w:p>
        </w:tc>
      </w:tr>
      <w:tr>
        <w:tc>
          <w:tcPr>
            <w:tcW w:type="dxa" w:w="4680"/>
          </w:tcPr>
          <w:p>
            <w:r>
              <w:t>D. Services Gap Funding (counseling, education, employment, family, housing, transport, peer support, Fresh Start)</w:t>
            </w:r>
          </w:p>
        </w:tc>
        <w:tc>
          <w:tcPr>
            <w:tcW w:type="dxa" w:w="4680"/>
          </w:tcPr>
          <w:p>
            <w:r>
              <w:t>$174,667</w:t>
            </w:r>
          </w:p>
        </w:tc>
      </w:tr>
      <w:tr>
        <w:tc>
          <w:tcPr>
            <w:tcW w:type="dxa" w:w="4680"/>
          </w:tcPr>
          <w:p>
            <w:r>
              <w:rPr>
                <w:b/>
              </w:rPr>
              <w:t>Total Direct Costs</w:t>
            </w:r>
          </w:p>
        </w:tc>
        <w:tc>
          <w:tcPr>
            <w:tcW w:type="dxa" w:w="4680"/>
          </w:tcPr>
          <w:p>
            <w:r>
              <w:rPr>
                <w:b/>
              </w:rPr>
              <w:t>$296,167</w:t>
            </w:r>
          </w:p>
        </w:tc>
      </w:tr>
      <w:tr>
        <w:tc>
          <w:tcPr>
            <w:tcW w:type="dxa" w:w="4680"/>
          </w:tcPr>
          <w:p>
            <w:r>
              <w:t>E. Indirect Costs (14.8% of direct costs)</w:t>
            </w:r>
          </w:p>
        </w:tc>
        <w:tc>
          <w:tcPr>
            <w:tcW w:type="dxa" w:w="4680"/>
          </w:tcPr>
          <w:p>
            <w:r>
              <w:t>$43,833</w:t>
            </w:r>
          </w:p>
        </w:tc>
      </w:tr>
      <w:tr>
        <w:tc>
          <w:tcPr>
            <w:tcW w:type="dxa" w:w="4680"/>
          </w:tcPr>
          <w:p>
            <w:r>
              <w:rPr>
                <w:b/>
              </w:rPr>
              <w:t>TOTAL GRANT REQUEST</w:t>
            </w:r>
          </w:p>
        </w:tc>
        <w:tc>
          <w:tcPr>
            <w:tcW w:type="dxa" w:w="4680"/>
          </w:tcPr>
          <w:p>
            <w:r>
              <w:rPr>
                <w:b/>
              </w:rPr>
              <w:t>$340,000</w:t>
            </w:r>
          </w:p>
        </w:tc>
      </w:tr>
    </w:tbl>
    <w:p>
      <w:r/>
      <w:r/>
    </w:p>
    <w:p>
      <w:r/>
      <w:r>
        <w:rPr>
          <w:i/>
        </w:rPr>
        <w:t>Submitted by:</w:t>
      </w:r>
      <w:r>
        <w:t xml:space="preserve"> Mary “Malika” McCall, Executive Director</w:t>
      </w:r>
      <w:r/>
    </w:p>
    <w:p>
      <w:r/>
      <w:r>
        <w:t>Team Resurrection Inc. | 172 16th Ave, Newark, NJ 07103 | (973) 991-3594</w:t>
      </w:r>
      <w:r/>
      <w:r/>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sz w:val="20"/>
      </w:rPr>
      <w:fldChar w:fldCharType="begin"/>
    </w:r>
    <w:r>
      <w:rPr>
        <w:rFonts w:ascii="Times New Roman" w:hAnsi="Times New Roman"/>
        <w:sz w:val="20"/>
      </w:rPr>
      <w:instrText xml:space="preserve"> PAGE </w:instrText>
    </w:r>
    <w:r>
      <w:rPr>
        <w:rFonts w:ascii="Times New Roman" w:hAnsi="Times New Roman"/>
        <w:sz w:val="20"/>
      </w:rPr>
      <w:fldChar w:fldCharType="separate"/>
    </w:r>
    <w:r>
      <w:rPr>
        <w:rFonts w:ascii="Times New Roman" w:hAnsi="Times New Roman"/>
        <w:sz w:val="20"/>
      </w:rPr>
      <w:fldChar w:fldCharType="end"/>
    </w:r>
    <w:r>
      <w:rPr>
        <w:rFonts w:ascii="Times New Roman" w:hAnsi="Times New Roman"/>
        <w:sz w:val="20"/>
      </w:rPr>
      <w:t xml:space="preserve"> of </w:t>
    </w:r>
    <w:r>
      <w:rPr>
        <w:rFonts w:ascii="Times New Roman" w:hAnsi="Times New Roman"/>
        <w:sz w:val="20"/>
      </w:rPr>
      <w:fldChar w:fldCharType="begin"/>
    </w:r>
    <w:r>
      <w:rPr>
        <w:rFonts w:ascii="Times New Roman" w:hAnsi="Times New Roman"/>
        <w:sz w:val="20"/>
      </w:rPr>
      <w:instrText xml:space="preserve"> NUMPAGES </w:instrText>
    </w:r>
    <w:r>
      <w:rPr>
        <w:rFonts w:ascii="Times New Roman" w:hAnsi="Times New Roman"/>
        <w:sz w:val="20"/>
      </w:rPr>
      <w:fldChar w:fldCharType="separate"/>
    </w:r>
    <w:r>
      <w:rPr>
        <w:rFonts w:ascii="Times New Roman" w:hAnsi="Times New Roman"/>
        <w:sz w:val="20"/>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60" w:lineRule="auto"/>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